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4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989"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11.020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both"/>
              <w:rPr>
                <w:rFonts w:ascii="黑体" w:hAnsi="黑体" w:eastAsia="黑体"/>
                <w:sz w:val="21"/>
                <w:szCs w:val="21"/>
              </w:rPr>
            </w:pPr>
            <w:r>
              <w:rPr>
                <w:rFonts w:ascii="Times New Roman" w:hAnsi="Times New Roman" w:eastAsia="黑体"/>
                <w:sz w:val="21"/>
                <w:szCs w:val="21"/>
              </w:rPr>
              <w:t xml:space="preserve">CCS      </w:t>
            </w:r>
          </w:p>
        </w:tc>
        <w:tc>
          <w:tcPr>
            <w:tcW w:w="898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 </w:t>
            </w:r>
            <w:r>
              <w:rPr>
                <w:rFonts w:hint="eastAsia" w:ascii="黑体" w:hAnsi="黑体" w:eastAsia="黑体"/>
                <w:sz w:val="21"/>
                <w:szCs w:val="21"/>
              </w:rPr>
              <w:t>56</w:t>
            </w:r>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1" w:name="_Hlk26473981"/>
            <w:r>
              <w:t>DB</w:t>
            </w:r>
            <w:r>
              <w:fldChar w:fldCharType="begin">
                <w:ffData>
                  <w:name w:val="c1"/>
                  <w:enabled/>
                  <w:calcOnExit w:val="0"/>
                  <w:textInput>
                    <w:maxLength w:val="8"/>
                  </w:textInput>
                </w:ffData>
              </w:fldChar>
            </w:r>
            <w:bookmarkStart w:id="2" w:name="c1"/>
            <w:r>
              <w:instrText xml:space="preserve"> FORMTEXT </w:instrText>
            </w:r>
            <w:r>
              <w:fldChar w:fldCharType="separate"/>
            </w:r>
            <w:r>
              <w:t>50</w:t>
            </w:r>
            <w:r>
              <w:fldChar w:fldCharType="end"/>
            </w:r>
            <w:bookmarkEnd w:id="2"/>
          </w:p>
        </w:tc>
      </w:tr>
    </w:tbl>
    <w:p>
      <w:pPr>
        <w:pStyle w:val="53"/>
        <w:framePr w:w="9639" w:h="624" w:hRule="exact" w:hSpace="181" w:vSpace="181" w:wrap="around" w:vAnchor="text" w:hAnchor="page" w:x="1305" w:y="2269"/>
        <w:rPr>
          <w:rFonts w:ascii="黑体" w:hAnsi="黑体" w:eastAsia="黑体"/>
          <w:b w:val="0"/>
          <w:bCs w:val="0"/>
          <w:w w:val="100"/>
          <w:sz w:val="48"/>
          <w:szCs w:val="48"/>
        </w:rPr>
      </w:pPr>
      <w:r>
        <w:rPr>
          <w:rFonts w:hint="eastAsia" w:ascii="黑体" w:eastAsia="黑体"/>
          <w:b w:val="0"/>
          <w:w w:val="100"/>
          <w:sz w:val="48"/>
        </w:rPr>
        <w:t>重庆市</w:t>
      </w:r>
      <w:r>
        <w:rPr>
          <w:rFonts w:hint="eastAsia" w:ascii="黑体" w:hAnsi="黑体" w:eastAsia="黑体"/>
          <w:b w:val="0"/>
          <w:bCs w:val="0"/>
          <w:w w:val="100"/>
          <w:sz w:val="48"/>
          <w:szCs w:val="48"/>
        </w:rPr>
        <w:t>地方标准</w:t>
      </w:r>
    </w:p>
    <w:bookmarkEnd w:id="1"/>
    <w:p>
      <w:pPr>
        <w:pStyle w:val="196"/>
        <w:framePr/>
        <w:rPr>
          <w:lang w:val="fr-FR"/>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50/T</w:t>
      </w:r>
      <w:r>
        <w:fldChar w:fldCharType="end"/>
      </w:r>
      <w:bookmarkEnd w:id="3"/>
      <w:bookmarkStart w:id="4" w:name="NSTD_CODE_F"/>
      <w:r>
        <w:rPr>
          <w:rFonts w:ascii="黑体" w:hAnsi="Times New Roman" w:eastAsia="黑体" w:cs="Times New Roman"/>
          <w:bCs/>
          <w:sz w:val="28"/>
          <w:szCs w:val="28"/>
          <w:lang w:val="fr-FR" w:eastAsia="zh-CN" w:bidi="ar-SA"/>
        </w:rPr>
        <w:fldChar w:fldCharType="begin">
          <w:ffData>
            <w:name w:val="NSTD_CODE_F"/>
            <w:enabled/>
            <w:calcOnExit w:val="0"/>
            <w:textInput>
              <w:default w:val=" XXXX"/>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 xml:space="preserve"> XXXX</w:t>
      </w:r>
      <w:r>
        <w:rPr>
          <w:rFonts w:ascii="黑体" w:hAnsi="Times New Roman" w:eastAsia="黑体" w:cs="Times New Roman"/>
          <w:bCs/>
          <w:sz w:val="28"/>
          <w:szCs w:val="28"/>
          <w:lang w:val="fr-FR" w:eastAsia="zh-CN" w:bidi="ar-SA"/>
        </w:rPr>
        <w:fldChar w:fldCharType="end"/>
      </w:r>
      <w:bookmarkEnd w:id="4"/>
      <w:r>
        <w:rPr>
          <w:rFonts w:hAnsi="黑体"/>
          <w:lang w:val="fr-FR"/>
        </w:rPr>
        <w:t>—</w:t>
      </w:r>
      <w:bookmarkStart w:id="5" w:name="NSTD_CODE_B"/>
      <w:r>
        <w:rPr>
          <w:lang w:val="fr-FR"/>
        </w:rPr>
        <w:fldChar w:fldCharType="begin">
          <w:ffData>
            <w:name w:val="NSTD_CODE_B"/>
            <w:enabled/>
            <w:calcOnExit w:val="0"/>
            <w:textInput>
              <w:default w:val="2024"/>
            </w:textInput>
          </w:ffData>
        </w:fldChar>
      </w:r>
      <w:r>
        <w:rPr>
          <w:lang w:val="fr-FR"/>
        </w:rPr>
        <w:instrText xml:space="preserve">FORMTEXT</w:instrText>
      </w:r>
      <w:r>
        <w:rPr>
          <w:lang w:val="fr-FR"/>
        </w:rPr>
        <w:fldChar w:fldCharType="separate"/>
      </w:r>
      <w:r>
        <w:rPr>
          <w:lang w:val="fr-FR"/>
        </w:rPr>
        <w:t>2024</w:t>
      </w:r>
      <w:r>
        <w:rPr>
          <w:lang w:val="fr-FR"/>
        </w:rPr>
        <w:fldChar w:fldCharType="end"/>
      </w:r>
      <w:bookmarkEnd w:id="5"/>
    </w:p>
    <w:p>
      <w:pPr>
        <w:pStyle w:val="197"/>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3"/>
        <w:framePr w:w="9639" w:h="6976" w:hRule="exact" w:hSpace="0" w:vSpace="0" w:wrap="around" w:vAnchor="text" w:hAnchor="page" w:y="6408"/>
        <w:jc w:val="center"/>
        <w:rPr>
          <w:rFonts w:ascii="黑体" w:hAnsi="黑体" w:eastAsia="黑体"/>
          <w:b w:val="0"/>
          <w:bCs w:val="0"/>
          <w:w w:val="100"/>
        </w:rPr>
      </w:pPr>
    </w:p>
    <w:p>
      <w:pPr>
        <w:pStyle w:val="198"/>
        <w:framePr w:h="6974" w:hRule="exact" w:wrap="around" w:x="1419" w:anchorLock="1"/>
      </w:pPr>
      <w:r>
        <w:t>学校食堂</w:t>
      </w:r>
      <w:r>
        <w:rPr>
          <w:rFonts w:hint="eastAsia"/>
        </w:rPr>
        <w:t>鼠类</w:t>
      </w:r>
      <w:r>
        <w:t>综合防制技术规范</w:t>
      </w:r>
    </w:p>
    <w:p>
      <w:pPr>
        <w:framePr w:w="9639" w:h="6974" w:hRule="exact" w:wrap="around" w:vAnchor="page" w:hAnchor="page" w:x="1419" w:y="6408" w:anchorLock="1"/>
        <w:ind w:left="-1418"/>
      </w:pPr>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rFonts w:hint="eastAsia"/>
          <w:sz w:val="24"/>
          <w:szCs w:val="28"/>
        </w:rPr>
        <w:t>（报批稿）</w:t>
      </w:r>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94"/>
        <w:framePr w:wrap="around" w:y="14176"/>
      </w:pPr>
      <w:bookmarkStart w:id="8" w:name="PLSH_DATE_Y"/>
      <w:r>
        <w:rPr>
          <w:rFonts w:ascii="黑体"/>
        </w:rPr>
        <w:fldChar w:fldCharType="begin">
          <w:ffData>
            <w:name w:val="PLSH_DATE_Y"/>
            <w:enabled/>
            <w:calcOnExit w:val="0"/>
            <w:textInput>
              <w:default w:val="2024"/>
              <w:maxLength w:val="4"/>
            </w:textInput>
          </w:ffData>
        </w:fldChar>
      </w:r>
      <w:r>
        <w:rPr>
          <w:rFonts w:ascii="黑体"/>
        </w:rPr>
        <w:instrText xml:space="preserve">FORMTEXT</w:instrText>
      </w:r>
      <w:r>
        <w:rPr>
          <w:rFonts w:ascii="黑体"/>
        </w:rPr>
        <w:fldChar w:fldCharType="separate"/>
      </w:r>
      <w:r>
        <w:rPr>
          <w:rFonts w:ascii="黑体"/>
        </w:rPr>
        <w:t>2024</w:t>
      </w:r>
      <w:r>
        <w:rPr>
          <w:rFonts w:ascii="黑体"/>
        </w:rPr>
        <w:fldChar w:fldCharType="end"/>
      </w:r>
      <w:bookmarkEnd w:id="8"/>
      <w:r>
        <w:rPr>
          <w:rFonts w:ascii="黑体"/>
        </w:rPr>
        <w:t>-</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195"/>
        <w:framePr w:wrap="around" w:y="14176"/>
      </w:pPr>
      <w:bookmarkStart w:id="11" w:name="CROT_DATE_Y"/>
      <w:r>
        <w:rPr>
          <w:rFonts w:ascii="黑体"/>
        </w:rPr>
        <w:fldChar w:fldCharType="begin">
          <w:ffData>
            <w:name w:val="CROT_DATE_Y"/>
            <w:enabled/>
            <w:calcOnExit w:val="0"/>
            <w:textInput>
              <w:default w:val="2024"/>
              <w:maxLength w:val="4"/>
            </w:textInput>
          </w:ffData>
        </w:fldChar>
      </w:r>
      <w:r>
        <w:rPr>
          <w:rFonts w:ascii="黑体"/>
        </w:rPr>
        <w:instrText xml:space="preserve">FORMTEXT</w:instrText>
      </w:r>
      <w:r>
        <w:rPr>
          <w:rFonts w:ascii="黑体"/>
        </w:rPr>
        <w:fldChar w:fldCharType="separate"/>
      </w:r>
      <w:r>
        <w:rPr>
          <w:rFonts w:ascii="黑体"/>
        </w:rPr>
        <w:t>2024</w:t>
      </w:r>
      <w:r>
        <w:rPr>
          <w:rFonts w:ascii="黑体"/>
        </w:rPr>
        <w:fldChar w:fldCharType="end"/>
      </w:r>
      <w:bookmarkEnd w:id="11"/>
      <w:r>
        <w:rPr>
          <w:rFonts w:ascii="黑体"/>
        </w:rPr>
        <w:t>-</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pPr>
        <w:pStyle w:val="153"/>
        <w:framePr w:h="584" w:hRule="exact" w:hSpace="181" w:vSpace="181" w:wrap="around" w:y="15027"/>
        <w:rPr>
          <w:rFonts w:hAnsi="黑体"/>
        </w:rPr>
      </w:pPr>
      <w:r>
        <w:rPr>
          <w:rFonts w:hint="eastAsia" w:hAnsi="黑体"/>
          <w:w w:val="100"/>
          <w:sz w:val="28"/>
        </w:rPr>
        <w:t>重庆市市场监督管理局</w:t>
      </w:r>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720"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2"/>
        <w:spacing w:before="900" w:after="468"/>
      </w:pPr>
      <w:bookmarkStart w:id="14" w:name="BookMark2"/>
      <w:r>
        <w:rPr>
          <w:spacing w:val="320"/>
        </w:rPr>
        <w:t>前</w:t>
      </w:r>
      <w:r>
        <w:t>言</w:t>
      </w:r>
    </w:p>
    <w:p>
      <w:pPr>
        <w:pStyle w:val="59"/>
        <w:ind w:firstLine="420"/>
      </w:pPr>
      <w:r>
        <w:rPr>
          <w:rFonts w:hint="eastAsia"/>
        </w:rPr>
        <w:t>本文件按照GB/T 1.1—2020《标准化工作导则 第1部分：标准化文件的结构和起草规则》的规定</w:t>
      </w:r>
    </w:p>
    <w:p>
      <w:pPr>
        <w:pStyle w:val="59"/>
        <w:ind w:firstLine="0" w:firstLineChars="0"/>
      </w:pPr>
      <w:r>
        <w:rPr>
          <w:rFonts w:hint="eastAsia"/>
        </w:rPr>
        <w:t>起草。</w:t>
      </w:r>
    </w:p>
    <w:p>
      <w:pPr>
        <w:pStyle w:val="59"/>
        <w:ind w:firstLine="420"/>
      </w:pPr>
      <w:r>
        <w:t>请注意本文件的某些内容可能涉及专利。本文件的发布机构不承担识别专利的责任。</w:t>
      </w:r>
    </w:p>
    <w:p>
      <w:pPr>
        <w:pStyle w:val="59"/>
        <w:ind w:firstLine="420"/>
      </w:pPr>
      <w:r>
        <w:rPr>
          <w:rFonts w:hint="eastAsia"/>
        </w:rPr>
        <w:t>本文件由重庆市卫生健康委员会提出、归口并组织实施。</w:t>
      </w:r>
    </w:p>
    <w:p>
      <w:pPr>
        <w:pStyle w:val="59"/>
        <w:ind w:firstLine="420"/>
      </w:pPr>
      <w:r>
        <w:rPr>
          <w:rFonts w:hint="eastAsia"/>
        </w:rPr>
        <w:t>本文件起草单位：重庆市疾病预防控制中心、重庆市质量和标准化研究院。</w:t>
      </w:r>
    </w:p>
    <w:p>
      <w:pPr>
        <w:pStyle w:val="59"/>
        <w:ind w:firstLine="420"/>
      </w:pPr>
      <w:r>
        <w:rPr>
          <w:rFonts w:hint="eastAsia"/>
        </w:rPr>
        <w:t>本文件主要起草人：季恒青、肖汉森、王政、涂涛田、向龙宇、何亚明、赵瑞斌、张应、魏晶、唐文革。</w:t>
      </w:r>
    </w:p>
    <w:p>
      <w:pPr>
        <w:pStyle w:val="59"/>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720" w:num="1"/>
          <w:formProt w:val="0"/>
          <w:docGrid w:type="lines" w:linePitch="312" w:charSpace="0"/>
        </w:sectPr>
      </w:pPr>
    </w:p>
    <w:bookmarkEnd w:id="14"/>
    <w:p>
      <w:pPr>
        <w:spacing w:line="20" w:lineRule="exact"/>
        <w:jc w:val="center"/>
        <w:rPr>
          <w:rFonts w:ascii="黑体" w:hAnsi="黑体" w:eastAsia="黑体"/>
          <w:sz w:val="32"/>
          <w:szCs w:val="32"/>
        </w:rPr>
      </w:pPr>
      <w:bookmarkStart w:id="15" w:name="BookMark4"/>
    </w:p>
    <w:p>
      <w:pPr>
        <w:spacing w:line="20" w:lineRule="exact"/>
        <w:jc w:val="center"/>
        <w:rPr>
          <w:rFonts w:ascii="黑体" w:hAnsi="黑体" w:eastAsia="黑体"/>
          <w:sz w:val="32"/>
          <w:szCs w:val="32"/>
        </w:rPr>
      </w:pPr>
    </w:p>
    <w:p>
      <w:pPr>
        <w:pStyle w:val="179"/>
        <w:spacing w:before="312" w:beforeLines="100" w:after="686" w:afterLines="220"/>
      </w:pPr>
      <w:bookmarkStart w:id="16" w:name="NEW_STAND_NAME"/>
      <w:r>
        <w:rPr>
          <w:rFonts w:hint="eastAsia"/>
        </w:rPr>
        <w:t>学校食堂鼠类综合防制技术规范</w:t>
      </w:r>
    </w:p>
    <w:bookmarkEnd w:id="16"/>
    <w:p>
      <w:pPr>
        <w:pStyle w:val="106"/>
        <w:keepNext w:val="0"/>
        <w:keepLines w:val="0"/>
        <w:pageBreakBefore w:val="0"/>
        <w:widowControl/>
        <w:numPr>
          <w:ilvl w:val="1"/>
          <w:numId w:val="0"/>
        </w:numPr>
        <w:kinsoku/>
        <w:wordWrap/>
        <w:overflowPunct/>
        <w:topLinePunct w:val="0"/>
        <w:autoSpaceDE/>
        <w:autoSpaceDN/>
        <w:bidi w:val="0"/>
        <w:adjustRightInd/>
        <w:snapToGrid/>
        <w:spacing w:before="312" w:after="312"/>
        <w:textAlignment w:val="auto"/>
      </w:pPr>
      <w:r>
        <w:rPr>
          <w:rFonts w:hint="eastAsia"/>
        </w:rPr>
        <w:t>1　范围</w:t>
      </w:r>
    </w:p>
    <w:p>
      <w:pPr>
        <w:pStyle w:val="59"/>
        <w:ind w:firstLine="420"/>
      </w:pPr>
      <w:bookmarkStart w:id="17" w:name="OLE_LINK3"/>
      <w:bookmarkStart w:id="18" w:name="OLE_LINK4"/>
      <w:r>
        <w:rPr>
          <w:rFonts w:hint="eastAsia"/>
        </w:rPr>
        <w:t>本文件规定了学校食堂鼠类综合防制的基本原则、管理要求、技术要求和效果评估。</w:t>
      </w:r>
    </w:p>
    <w:p>
      <w:pPr>
        <w:pStyle w:val="59"/>
        <w:ind w:firstLine="420"/>
      </w:pPr>
      <w:r>
        <w:rPr>
          <w:rFonts w:hint="eastAsia"/>
        </w:rPr>
        <w:t>本文件适用于学校食堂鼠类综合防制。</w:t>
      </w:r>
    </w:p>
    <w:bookmarkEnd w:id="17"/>
    <w:bookmarkEnd w:id="18"/>
    <w:p>
      <w:pPr>
        <w:pStyle w:val="106"/>
        <w:numPr>
          <w:ilvl w:val="1"/>
          <w:numId w:val="0"/>
        </w:numPr>
        <w:spacing w:before="312" w:after="312"/>
      </w:pPr>
      <w:r>
        <w:rPr>
          <w:rFonts w:hint="eastAsia"/>
        </w:rPr>
        <w:t>2　 规范性引用文件</w:t>
      </w:r>
    </w:p>
    <w:p>
      <w:pPr>
        <w:pStyle w:val="59"/>
        <w:ind w:firstLine="420"/>
      </w:pPr>
      <w:r>
        <w:rPr>
          <w:rFonts w:hint="eastAsia"/>
        </w:rPr>
        <w:t>本文件没有规范性引用文件。</w:t>
      </w:r>
    </w:p>
    <w:p>
      <w:pPr>
        <w:pStyle w:val="106"/>
        <w:numPr>
          <w:ilvl w:val="1"/>
          <w:numId w:val="0"/>
        </w:numPr>
        <w:spacing w:before="312" w:after="312"/>
      </w:pPr>
      <w:r>
        <w:rPr>
          <w:rFonts w:hint="eastAsia"/>
        </w:rPr>
        <w:t>3　术语和定义</w:t>
      </w:r>
    </w:p>
    <w:p>
      <w:pPr>
        <w:pStyle w:val="59"/>
        <w:ind w:firstLine="420"/>
      </w:pPr>
      <w:r>
        <w:rPr>
          <w:rFonts w:hint="eastAsia"/>
        </w:rPr>
        <w:t>下列术语和定义适用于本文件。</w:t>
      </w:r>
    </w:p>
    <w:p>
      <w:pPr>
        <w:pStyle w:val="107"/>
        <w:numPr>
          <w:ilvl w:val="0"/>
          <w:numId w:val="0"/>
        </w:numPr>
        <w:spacing w:beforeLines="0" w:afterLines="0"/>
        <w:rPr>
          <w:rFonts w:hAnsi="黑体"/>
        </w:rPr>
      </w:pPr>
      <w:r>
        <w:rPr>
          <w:rFonts w:hint="eastAsia" w:hAnsi="黑体"/>
        </w:rPr>
        <w:t>3.1</w:t>
      </w:r>
    </w:p>
    <w:p>
      <w:pPr>
        <w:spacing w:line="240" w:lineRule="auto"/>
        <w:ind w:firstLine="420" w:firstLineChars="200"/>
        <w:rPr>
          <w:rStyle w:val="225"/>
          <w:rFonts w:ascii="黑体" w:hAnsi="黑体" w:eastAsia="黑体"/>
        </w:rPr>
      </w:pPr>
      <w:r>
        <w:rPr>
          <w:rFonts w:hint="eastAsia" w:ascii="黑体" w:hAnsi="黑体" w:eastAsia="黑体"/>
          <w:kern w:val="0"/>
          <w:szCs w:val="20"/>
        </w:rPr>
        <w:t>学校食堂</w:t>
      </w:r>
      <w:r>
        <w:rPr>
          <w:rFonts w:hint="eastAsia" w:ascii="黑体" w:hAnsi="黑体" w:eastAsia="黑体"/>
          <w:kern w:val="0"/>
          <w:szCs w:val="20"/>
          <w:lang w:val="en-US" w:eastAsia="zh-CN"/>
        </w:rPr>
        <w:t xml:space="preserve">  </w:t>
      </w:r>
      <w:r>
        <w:rPr>
          <w:rStyle w:val="225"/>
          <w:rFonts w:hint="eastAsia" w:ascii="黑体" w:hAnsi="黑体" w:eastAsia="黑体"/>
        </w:rPr>
        <w:t>school canteen</w:t>
      </w:r>
    </w:p>
    <w:p>
      <w:pPr>
        <w:pStyle w:val="107"/>
        <w:numPr>
          <w:ilvl w:val="0"/>
          <w:numId w:val="0"/>
        </w:numPr>
        <w:spacing w:beforeLines="0" w:afterLines="0"/>
        <w:ind w:firstLine="420" w:firstLineChars="200"/>
        <w:rPr>
          <w:rFonts w:ascii="宋体" w:eastAsia="宋体"/>
        </w:rPr>
      </w:pPr>
      <w:r>
        <w:rPr>
          <w:rFonts w:hint="eastAsia" w:ascii="宋体" w:eastAsia="宋体"/>
        </w:rPr>
        <w:t>设在各级各类学校内部，具有相对独立的原料存放、食品加工制作、食品供应等空间，直接为学生和教职工提供就餐服务的场所。</w:t>
      </w:r>
    </w:p>
    <w:p>
      <w:pPr>
        <w:pStyle w:val="107"/>
        <w:numPr>
          <w:ilvl w:val="0"/>
          <w:numId w:val="0"/>
        </w:numPr>
        <w:spacing w:beforeLines="0" w:afterLines="0"/>
        <w:rPr>
          <w:rFonts w:hAnsi="黑体"/>
        </w:rPr>
      </w:pPr>
      <w:r>
        <w:rPr>
          <w:rFonts w:hint="eastAsia" w:hAnsi="黑体"/>
        </w:rPr>
        <w:t>3.2</w:t>
      </w:r>
    </w:p>
    <w:p>
      <w:pPr>
        <w:pStyle w:val="107"/>
        <w:numPr>
          <w:ilvl w:val="0"/>
          <w:numId w:val="0"/>
        </w:numPr>
        <w:spacing w:beforeLines="0" w:afterLines="0"/>
        <w:ind w:firstLine="420" w:firstLineChars="200"/>
        <w:rPr>
          <w:rFonts w:hAnsi="黑体"/>
        </w:rPr>
      </w:pPr>
      <w:r>
        <w:rPr>
          <w:rFonts w:hint="eastAsia" w:hAnsi="黑体"/>
        </w:rPr>
        <w:t>鼠  rodent</w:t>
      </w:r>
    </w:p>
    <w:p>
      <w:pPr>
        <w:pStyle w:val="59"/>
        <w:ind w:firstLine="420"/>
      </w:pPr>
      <w:r>
        <w:rPr>
          <w:rFonts w:hint="eastAsia"/>
        </w:rPr>
        <w:t>哺乳纲啮齿目种类。</w:t>
      </w:r>
    </w:p>
    <w:p>
      <w:pPr>
        <w:pStyle w:val="59"/>
        <w:ind w:firstLine="420"/>
      </w:pPr>
      <w:r>
        <w:rPr>
          <w:rFonts w:hint="eastAsia"/>
        </w:rPr>
        <w:t>[来源：GB/T 31721-2015，2.1.2]</w:t>
      </w:r>
    </w:p>
    <w:p>
      <w:pPr>
        <w:pStyle w:val="224"/>
        <w:numPr>
          <w:ilvl w:val="0"/>
          <w:numId w:val="0"/>
        </w:numPr>
        <w:rPr>
          <w:rFonts w:ascii="黑体" w:hAnsi="黑体" w:eastAsia="黑体"/>
        </w:rPr>
      </w:pPr>
      <w:r>
        <w:rPr>
          <w:rFonts w:hint="eastAsia" w:ascii="黑体" w:hAnsi="黑体" w:eastAsia="黑体"/>
        </w:rPr>
        <w:t>3.3</w:t>
      </w:r>
    </w:p>
    <w:p>
      <w:pPr>
        <w:spacing w:line="240" w:lineRule="auto"/>
        <w:ind w:firstLine="420" w:firstLineChars="200"/>
        <w:rPr>
          <w:rFonts w:ascii="黑体" w:hAnsi="黑体" w:eastAsia="黑体"/>
          <w:kern w:val="0"/>
          <w:szCs w:val="20"/>
        </w:rPr>
      </w:pPr>
      <w:r>
        <w:rPr>
          <w:rFonts w:hint="eastAsia" w:ascii="黑体" w:hAnsi="黑体" w:eastAsia="黑体"/>
          <w:kern w:val="0"/>
          <w:szCs w:val="20"/>
        </w:rPr>
        <w:t>鼠迹  traces of rodent</w:t>
      </w:r>
    </w:p>
    <w:p>
      <w:pPr>
        <w:pStyle w:val="107"/>
        <w:numPr>
          <w:ilvl w:val="0"/>
          <w:numId w:val="0"/>
        </w:numPr>
        <w:spacing w:beforeLines="0" w:afterLines="0"/>
        <w:ind w:firstLine="420" w:firstLineChars="200"/>
        <w:rPr>
          <w:rFonts w:hint="eastAsia" w:ascii="宋体" w:eastAsia="宋体"/>
        </w:rPr>
      </w:pPr>
      <w:r>
        <w:rPr>
          <w:rFonts w:hint="eastAsia" w:ascii="宋体" w:eastAsia="宋体"/>
        </w:rPr>
        <w:t>鼠活动留下的痕迹如鼠洞、鼠道、粪便、啮痕、爪印、盗土等。</w:t>
      </w:r>
    </w:p>
    <w:p>
      <w:pPr>
        <w:pStyle w:val="59"/>
        <w:ind w:firstLine="420"/>
      </w:pPr>
      <w:r>
        <w:rPr>
          <w:rFonts w:hint="eastAsia"/>
        </w:rPr>
        <w:t>[来源：GB/T 31721-2015，3.2.6]</w:t>
      </w:r>
    </w:p>
    <w:p>
      <w:pPr>
        <w:pStyle w:val="224"/>
        <w:numPr>
          <w:ilvl w:val="0"/>
          <w:numId w:val="0"/>
        </w:numPr>
        <w:rPr>
          <w:rFonts w:ascii="黑体" w:hAnsi="黑体" w:eastAsia="黑体"/>
        </w:rPr>
      </w:pPr>
      <w:r>
        <w:rPr>
          <w:rFonts w:hint="eastAsia" w:ascii="黑体" w:hAnsi="黑体" w:eastAsia="黑体"/>
        </w:rPr>
        <w:t>3.4</w:t>
      </w:r>
    </w:p>
    <w:p>
      <w:pPr>
        <w:pStyle w:val="224"/>
        <w:numPr>
          <w:ilvl w:val="2"/>
          <w:numId w:val="0"/>
        </w:numPr>
        <w:ind w:firstLine="420" w:firstLineChars="200"/>
        <w:rPr>
          <w:rFonts w:ascii="黑体" w:hAnsi="黑体" w:eastAsia="黑体"/>
        </w:rPr>
      </w:pPr>
      <w:r>
        <w:rPr>
          <w:rFonts w:hint="eastAsia" w:ascii="黑体" w:hAnsi="黑体" w:eastAsia="黑体"/>
        </w:rPr>
        <w:t>防鼠设施  rodent-proof structure or facilities</w:t>
      </w:r>
    </w:p>
    <w:p>
      <w:pPr>
        <w:pStyle w:val="59"/>
        <w:ind w:firstLine="420"/>
      </w:pPr>
      <w:r>
        <w:rPr>
          <w:rFonts w:hint="eastAsia"/>
        </w:rPr>
        <w:t>能够阻挡鼠类进入室内或相关场所的装置。</w:t>
      </w:r>
    </w:p>
    <w:p>
      <w:pPr>
        <w:pStyle w:val="59"/>
        <w:ind w:firstLine="420"/>
      </w:pPr>
      <w:r>
        <w:rPr>
          <w:rFonts w:hint="eastAsia"/>
        </w:rPr>
        <w:t>[来源：GB/T 31721-2015，4.4.3]</w:t>
      </w:r>
    </w:p>
    <w:p>
      <w:pPr>
        <w:pStyle w:val="107"/>
        <w:numPr>
          <w:ilvl w:val="0"/>
          <w:numId w:val="0"/>
        </w:numPr>
        <w:spacing w:beforeLines="0" w:afterLines="0"/>
        <w:rPr>
          <w:rFonts w:hAnsi="黑体"/>
        </w:rPr>
      </w:pPr>
      <w:r>
        <w:rPr>
          <w:rFonts w:hint="eastAsia" w:hAnsi="黑体"/>
        </w:rPr>
        <w:t xml:space="preserve">3.5 </w:t>
      </w:r>
    </w:p>
    <w:p>
      <w:pPr>
        <w:pStyle w:val="107"/>
        <w:numPr>
          <w:ilvl w:val="0"/>
          <w:numId w:val="0"/>
        </w:numPr>
        <w:spacing w:beforeLines="0" w:afterLines="0"/>
        <w:ind w:firstLine="420" w:firstLineChars="200"/>
        <w:rPr>
          <w:rFonts w:hAnsi="黑体"/>
        </w:rPr>
      </w:pPr>
      <w:r>
        <w:rPr>
          <w:rFonts w:hint="eastAsia" w:hAnsi="黑体"/>
        </w:rPr>
        <w:t>毒饵  food baits</w:t>
      </w:r>
    </w:p>
    <w:p>
      <w:pPr>
        <w:pStyle w:val="59"/>
        <w:ind w:firstLine="420"/>
      </w:pPr>
      <w:r>
        <w:rPr>
          <w:rFonts w:hint="eastAsia"/>
        </w:rPr>
        <w:t>由杀鼠剂、诱饵和附加剂混合制成鼠类喜欢取食且能中毒致死的制剂。</w:t>
      </w:r>
    </w:p>
    <w:p>
      <w:pPr>
        <w:pStyle w:val="59"/>
        <w:ind w:firstLine="420"/>
      </w:pPr>
      <w:r>
        <w:rPr>
          <w:rFonts w:hint="eastAsia"/>
        </w:rPr>
        <w:t>[来源：GB/T 31721-2015，4.5.3.12]</w:t>
      </w:r>
    </w:p>
    <w:p>
      <w:pPr>
        <w:pStyle w:val="107"/>
        <w:numPr>
          <w:ilvl w:val="0"/>
          <w:numId w:val="0"/>
        </w:numPr>
        <w:spacing w:beforeLines="0" w:afterLines="0"/>
        <w:rPr>
          <w:rFonts w:hAnsi="黑体"/>
        </w:rPr>
      </w:pPr>
      <w:r>
        <w:rPr>
          <w:rFonts w:hint="eastAsia" w:hAnsi="黑体"/>
        </w:rPr>
        <w:t>3.6</w:t>
      </w:r>
    </w:p>
    <w:p>
      <w:pPr>
        <w:pStyle w:val="107"/>
        <w:numPr>
          <w:ilvl w:val="0"/>
          <w:numId w:val="0"/>
        </w:numPr>
        <w:spacing w:beforeLines="0" w:afterLines="0"/>
        <w:ind w:firstLine="420" w:firstLineChars="200"/>
        <w:rPr>
          <w:rFonts w:hAnsi="黑体"/>
        </w:rPr>
      </w:pPr>
      <w:r>
        <w:rPr>
          <w:rFonts w:hint="eastAsia" w:hAnsi="黑体"/>
        </w:rPr>
        <w:t>蜡块毒饵</w:t>
      </w:r>
      <w:r>
        <w:rPr>
          <w:rFonts w:hint="eastAsia" w:hAnsi="黑体"/>
          <w:lang w:val="en-US" w:eastAsia="zh-CN"/>
        </w:rPr>
        <w:t xml:space="preserve">  </w:t>
      </w:r>
      <w:r>
        <w:rPr>
          <w:rFonts w:hint="eastAsia" w:hAnsi="黑体"/>
        </w:rPr>
        <w:t>block baits</w:t>
      </w:r>
    </w:p>
    <w:p>
      <w:pPr>
        <w:pStyle w:val="59"/>
        <w:ind w:firstLine="420"/>
      </w:pPr>
      <w:r>
        <w:rPr>
          <w:rFonts w:hint="eastAsia"/>
        </w:rPr>
        <w:t>将混配好的毒饵与熔化的优质石蜡混匀，注入模具中成形的一种块状的杀鼠毒饵，主要用于下水道和较潮湿地方灭鼠。</w:t>
      </w:r>
    </w:p>
    <w:p>
      <w:pPr>
        <w:pStyle w:val="59"/>
        <w:ind w:firstLine="420"/>
      </w:pPr>
      <w:r>
        <w:rPr>
          <w:rFonts w:hint="eastAsia"/>
        </w:rPr>
        <w:t>[来源：GB/T 31721-2015，4.5.3.14]</w:t>
      </w:r>
    </w:p>
    <w:p>
      <w:pPr>
        <w:pStyle w:val="107"/>
        <w:numPr>
          <w:ilvl w:val="0"/>
          <w:numId w:val="0"/>
        </w:numPr>
        <w:spacing w:beforeLines="0" w:afterLines="0"/>
        <w:rPr>
          <w:rFonts w:hAnsi="黑体"/>
        </w:rPr>
      </w:pPr>
      <w:r>
        <w:rPr>
          <w:rFonts w:hint="eastAsia" w:hAnsi="黑体"/>
        </w:rPr>
        <w:t>3.7</w:t>
      </w:r>
    </w:p>
    <w:p>
      <w:pPr>
        <w:pStyle w:val="107"/>
        <w:numPr>
          <w:ilvl w:val="0"/>
          <w:numId w:val="0"/>
        </w:numPr>
        <w:spacing w:beforeLines="0" w:afterLines="0"/>
        <w:ind w:firstLine="420" w:firstLineChars="200"/>
        <w:rPr>
          <w:rFonts w:hAnsi="黑体"/>
        </w:rPr>
      </w:pPr>
      <w:r>
        <w:rPr>
          <w:rFonts w:hint="eastAsia" w:hAnsi="黑体"/>
        </w:rPr>
        <w:t>抗干预型毒饵站</w:t>
      </w:r>
      <w:r>
        <w:rPr>
          <w:rFonts w:hint="eastAsia" w:hAnsi="黑体"/>
          <w:lang w:val="en-US" w:eastAsia="zh-CN"/>
        </w:rPr>
        <w:t xml:space="preserve">  </w:t>
      </w:r>
      <w:r>
        <w:rPr>
          <w:rFonts w:hint="eastAsia" w:hAnsi="黑体"/>
        </w:rPr>
        <w:t>anti-intervention bait station</w:t>
      </w:r>
    </w:p>
    <w:p>
      <w:pPr>
        <w:pStyle w:val="59"/>
        <w:ind w:firstLine="420"/>
        <w:rPr>
          <w:color w:val="000000"/>
        </w:rPr>
      </w:pPr>
      <w:r>
        <w:rPr>
          <w:rFonts w:hint="eastAsia"/>
        </w:rPr>
        <w:t>一种盛装供鼠类取食毒饵，并能防止毒饵被移走或在外力作用下散落出来的固定容器，其主要作用</w:t>
      </w:r>
      <w:r>
        <w:rPr>
          <w:rFonts w:hint="eastAsia"/>
          <w:color w:val="000000"/>
        </w:rPr>
        <w:t>是避免人或非靶标动物误食、延长毒饵的使用时间且符合鼠类喜欢在隐蔽场所取食的习性。</w:t>
      </w:r>
    </w:p>
    <w:p>
      <w:pPr>
        <w:pStyle w:val="107"/>
        <w:numPr>
          <w:ilvl w:val="0"/>
          <w:numId w:val="0"/>
        </w:numPr>
        <w:spacing w:beforeLines="0" w:afterLines="0"/>
        <w:rPr>
          <w:rFonts w:hAnsi="黑体"/>
        </w:rPr>
      </w:pPr>
      <w:r>
        <w:rPr>
          <w:rFonts w:hint="eastAsia" w:hAnsi="黑体"/>
        </w:rPr>
        <w:t>3.8</w:t>
      </w:r>
    </w:p>
    <w:p>
      <w:pPr>
        <w:pStyle w:val="107"/>
        <w:numPr>
          <w:ilvl w:val="0"/>
          <w:numId w:val="0"/>
        </w:numPr>
        <w:spacing w:beforeLines="0" w:afterLines="0"/>
        <w:ind w:firstLine="420" w:firstLineChars="200"/>
        <w:rPr>
          <w:rFonts w:hAnsi="黑体"/>
        </w:rPr>
      </w:pPr>
      <w:r>
        <w:rPr>
          <w:rFonts w:hint="eastAsia" w:hAnsi="黑体"/>
        </w:rPr>
        <w:t xml:space="preserve">标准间 </w:t>
      </w:r>
      <w:r>
        <w:rPr>
          <w:rFonts w:hint="eastAsia" w:hAnsi="黑体"/>
          <w:lang w:val="en-US" w:eastAsia="zh-CN"/>
        </w:rPr>
        <w:t xml:space="preserve"> </w:t>
      </w:r>
      <w:r>
        <w:rPr>
          <w:rFonts w:hint="eastAsia" w:hAnsi="黑体"/>
        </w:rPr>
        <w:t>standard room</w:t>
      </w:r>
    </w:p>
    <w:p>
      <w:pPr>
        <w:adjustRightInd/>
        <w:spacing w:line="240" w:lineRule="auto"/>
        <w:ind w:left="210" w:leftChars="100" w:firstLine="210" w:firstLineChars="100"/>
        <w:rPr>
          <w:rFonts w:ascii="宋体" w:hAnsi="宋体" w:cs="宋体"/>
          <w:color w:val="000000"/>
        </w:rPr>
      </w:pPr>
      <w:r>
        <w:rPr>
          <w:rFonts w:hint="eastAsia" w:ascii="宋体" w:hAnsi="宋体" w:cs="宋体"/>
          <w:color w:val="000000"/>
        </w:rPr>
        <w:t>以 15 m²为一个标准间</w:t>
      </w:r>
      <w:r>
        <w:rPr>
          <w:rFonts w:hint="eastAsia" w:ascii="宋体" w:hAnsi="宋体" w:cs="宋体"/>
          <w:color w:val="000000"/>
          <w:spacing w:val="-28"/>
          <w:sz w:val="21"/>
        </w:rPr>
        <w:t>，</w:t>
      </w:r>
      <w:r>
        <w:rPr>
          <w:rFonts w:hint="eastAsia" w:ascii="宋体" w:hAnsi="宋体" w:cs="宋体"/>
          <w:color w:val="000000"/>
        </w:rPr>
        <w:t>其中</w:t>
      </w:r>
      <w:r>
        <w:rPr>
          <w:rFonts w:hint="eastAsia" w:ascii="宋体" w:hAnsi="宋体" w:cs="宋体"/>
          <w:color w:val="000000"/>
          <w:spacing w:val="-20"/>
          <w:sz w:val="21"/>
        </w:rPr>
        <w:t>，</w:t>
      </w:r>
      <w:r>
        <w:rPr>
          <w:rFonts w:hint="eastAsia" w:ascii="宋体" w:hAnsi="宋体" w:cs="宋体"/>
          <w:color w:val="000000"/>
        </w:rPr>
        <w:t>小于</w:t>
      </w:r>
      <w:r>
        <w:rPr>
          <w:rFonts w:hint="eastAsia" w:ascii="宋体" w:hAnsi="宋体" w:cs="宋体"/>
          <w:color w:val="000000"/>
          <w:spacing w:val="-28"/>
          <w:sz w:val="21"/>
        </w:rPr>
        <w:t xml:space="preserve"> </w:t>
      </w:r>
      <w:r>
        <w:rPr>
          <w:rFonts w:hint="eastAsia" w:ascii="宋体" w:hAnsi="宋体" w:cs="宋体"/>
          <w:color w:val="auto"/>
        </w:rPr>
        <w:t>15 m²的独立房间视为一个标准间</w:t>
      </w:r>
      <w:r>
        <w:rPr>
          <w:rFonts w:hint="eastAsia" w:ascii="宋体" w:hAnsi="宋体" w:cs="宋体"/>
          <w:color w:val="auto"/>
          <w:spacing w:val="-28"/>
          <w:sz w:val="21"/>
        </w:rPr>
        <w:t>，</w:t>
      </w:r>
      <w:r>
        <w:rPr>
          <w:rFonts w:hint="eastAsia" w:ascii="宋体" w:hAnsi="宋体" w:cs="宋体"/>
          <w:color w:val="auto"/>
        </w:rPr>
        <w:t>大于</w:t>
      </w:r>
      <w:r>
        <w:rPr>
          <w:rFonts w:hint="eastAsia" w:ascii="宋体" w:hAnsi="宋体" w:cs="宋体"/>
          <w:color w:val="auto"/>
          <w:spacing w:val="-28"/>
          <w:sz w:val="21"/>
          <w:lang w:val="en-US" w:eastAsia="zh-CN"/>
        </w:rPr>
        <w:t xml:space="preserve"> </w:t>
      </w:r>
      <w:r>
        <w:rPr>
          <w:rFonts w:hint="eastAsia" w:ascii="宋体" w:hAnsi="宋体" w:cs="宋体"/>
          <w:color w:val="auto"/>
        </w:rPr>
        <w:t>15 m²的房间按 15 m²每间折算标准间数。</w:t>
      </w:r>
    </w:p>
    <w:p>
      <w:pPr>
        <w:pStyle w:val="59"/>
        <w:ind w:firstLine="420"/>
      </w:pPr>
      <w:r>
        <w:rPr>
          <w:rFonts w:hint="eastAsia"/>
        </w:rPr>
        <w:t>[来源：GB/T 31721-2015，3.1.10]</w:t>
      </w:r>
    </w:p>
    <w:p>
      <w:pPr>
        <w:pStyle w:val="106"/>
        <w:numPr>
          <w:ilvl w:val="1"/>
          <w:numId w:val="0"/>
        </w:numPr>
        <w:spacing w:before="312" w:after="312"/>
      </w:pPr>
      <w:r>
        <w:rPr>
          <w:rFonts w:hint="eastAsia"/>
        </w:rPr>
        <w:t>4　基本原则</w:t>
      </w:r>
    </w:p>
    <w:p>
      <w:pPr>
        <w:pStyle w:val="59"/>
        <w:ind w:firstLine="420"/>
      </w:pPr>
      <w:r>
        <w:rPr>
          <w:rFonts w:hint="eastAsia"/>
        </w:rPr>
        <w:t>坚持预防为主、环境安全、经济可行的原则，根据学校食堂的特点，因地制宜、因时制宜对学校食堂及其周边鼠类采取环境、物理、化学等防制措施，控制学校食堂鼠类危害。</w:t>
      </w:r>
    </w:p>
    <w:p>
      <w:pPr>
        <w:pStyle w:val="106"/>
        <w:numPr>
          <w:ilvl w:val="1"/>
          <w:numId w:val="0"/>
        </w:numPr>
        <w:spacing w:before="312" w:after="312"/>
      </w:pPr>
      <w:r>
        <w:rPr>
          <w:rFonts w:hint="eastAsia"/>
        </w:rPr>
        <w:t>5  管理要求</w:t>
      </w:r>
    </w:p>
    <w:p>
      <w:pPr>
        <w:pStyle w:val="234"/>
        <w:numPr>
          <w:ilvl w:val="0"/>
          <w:numId w:val="0"/>
        </w:numPr>
        <w:snapToGrid w:val="0"/>
        <w:spacing w:before="156" w:after="156"/>
        <w:rPr>
          <w:rFonts w:hAnsi="黑体" w:cs="黑体"/>
        </w:rPr>
      </w:pPr>
      <w:r>
        <w:rPr>
          <w:rFonts w:hint="eastAsia" w:hAnsi="黑体" w:cs="黑体"/>
        </w:rPr>
        <w:t>5.1  侵害调查</w:t>
      </w:r>
    </w:p>
    <w:p>
      <w:pPr>
        <w:pStyle w:val="167"/>
        <w:numPr>
          <w:ilvl w:val="3"/>
          <w:numId w:val="0"/>
        </w:numPr>
        <w:ind w:left="13" w:hanging="12" w:hangingChars="6"/>
      </w:pPr>
      <w:r>
        <w:rPr>
          <w:rFonts w:hint="eastAsia" w:ascii="黑体" w:eastAsia="黑体"/>
        </w:rPr>
        <w:t>5.1.1　</w:t>
      </w:r>
      <w:r>
        <w:rPr>
          <w:rFonts w:hint="eastAsia"/>
        </w:rPr>
        <w:t>在实施鼠类综合防制前，实地了解学校食堂及周边整体环境卫生状况、垃圾管理、地面硬化、物品堆放等情况，检查厨房、餐厅、食品库房及食堂周边外环境是否存在鼠迹。</w:t>
      </w:r>
    </w:p>
    <w:p>
      <w:pPr>
        <w:pStyle w:val="167"/>
        <w:numPr>
          <w:ilvl w:val="3"/>
          <w:numId w:val="0"/>
        </w:numPr>
        <w:ind w:left="13" w:hanging="12" w:hangingChars="6"/>
      </w:pPr>
      <w:r>
        <w:rPr>
          <w:rFonts w:hint="eastAsia" w:ascii="黑体" w:eastAsia="黑体"/>
        </w:rPr>
        <w:t>5.1.2　</w:t>
      </w:r>
      <w:r>
        <w:rPr>
          <w:rFonts w:hint="eastAsia"/>
        </w:rPr>
        <w:t>检查食堂防鼠设施是否完善。</w:t>
      </w:r>
      <w:r>
        <w:rPr>
          <w:rFonts w:hint="eastAsia" w:hAnsi="宋体" w:cs="宋体"/>
        </w:rPr>
        <w:t>防鼠设施的调查以自然间为单位，不能以折算的标准间为单位，一个自然间有一处不合格则整个房间防鼠设施不合格。</w:t>
      </w:r>
    </w:p>
    <w:p>
      <w:pPr>
        <w:pStyle w:val="167"/>
        <w:numPr>
          <w:ilvl w:val="3"/>
          <w:numId w:val="0"/>
        </w:numPr>
        <w:ind w:left="13" w:hanging="12" w:hangingChars="6"/>
        <w:rPr>
          <w:rFonts w:hint="eastAsia"/>
        </w:rPr>
      </w:pPr>
      <w:r>
        <w:rPr>
          <w:rFonts w:hint="eastAsia" w:ascii="黑体" w:eastAsia="黑体"/>
        </w:rPr>
        <w:t>5.1.3　</w:t>
      </w:r>
      <w:r>
        <w:rPr>
          <w:rFonts w:hint="eastAsia"/>
        </w:rPr>
        <w:t>采用鼠迹法对食堂及周边环境鼠密度进行监测，监测方法见附录 A。询问学校师生、食堂工作人员了解食堂室内及周边环境鼠类的侵害情况，鼠类侵害状况调查记录见附录B。</w:t>
      </w:r>
    </w:p>
    <w:p>
      <w:pPr>
        <w:pStyle w:val="167"/>
        <w:numPr>
          <w:ilvl w:val="0"/>
          <w:numId w:val="0"/>
        </w:numPr>
      </w:pPr>
      <w:r>
        <w:rPr>
          <w:rFonts w:hint="eastAsia" w:ascii="黑体" w:hAnsi="黑体" w:eastAsia="黑体"/>
        </w:rPr>
        <w:t>5.1.4</w:t>
      </w:r>
      <w:r>
        <w:rPr>
          <w:rFonts w:hint="eastAsia"/>
        </w:rPr>
        <w:t xml:space="preserve">  学校相关职能部门应定期开展监督检查。</w:t>
      </w:r>
    </w:p>
    <w:p>
      <w:pPr>
        <w:pStyle w:val="167"/>
        <w:numPr>
          <w:ilvl w:val="3"/>
          <w:numId w:val="0"/>
        </w:numPr>
        <w:ind w:left="13" w:hanging="12" w:hangingChars="6"/>
        <w:rPr>
          <w:color w:val="000000"/>
        </w:rPr>
      </w:pPr>
      <w:r>
        <w:rPr>
          <w:rFonts w:hint="eastAsia" w:ascii="黑体" w:eastAsia="黑体"/>
          <w:color w:val="000000"/>
        </w:rPr>
        <w:t>5.1.5　</w:t>
      </w:r>
      <w:r>
        <w:rPr>
          <w:rFonts w:hint="eastAsia"/>
          <w:color w:val="000000"/>
        </w:rPr>
        <w:t>可利用智慧化监测技术辅助鼠类侵害调查。</w:t>
      </w:r>
    </w:p>
    <w:p>
      <w:pPr>
        <w:pStyle w:val="107"/>
        <w:numPr>
          <w:ilvl w:val="0"/>
          <w:numId w:val="0"/>
        </w:numPr>
        <w:spacing w:before="156" w:after="156"/>
      </w:pPr>
      <w:r>
        <w:rPr>
          <w:rFonts w:hint="eastAsia"/>
        </w:rPr>
        <w:t xml:space="preserve">5.2  危害评估 </w:t>
      </w:r>
    </w:p>
    <w:p>
      <w:pPr>
        <w:spacing w:line="240" w:lineRule="auto"/>
        <w:ind w:firstLine="420" w:firstLineChars="200"/>
      </w:pPr>
      <w:r>
        <w:rPr>
          <w:rFonts w:hint="eastAsia" w:ascii="宋体" w:hAnsi="宋体" w:cs="宋体"/>
        </w:rPr>
        <w:t>根据侵害调查结果判定学校食堂鼠类危害程度，综合评估是否需要开展防制以及确定防制的重点区域。</w:t>
      </w:r>
    </w:p>
    <w:p>
      <w:pPr>
        <w:pStyle w:val="107"/>
        <w:numPr>
          <w:ilvl w:val="0"/>
          <w:numId w:val="0"/>
        </w:numPr>
        <w:spacing w:before="156" w:after="156"/>
      </w:pPr>
      <w:r>
        <w:rPr>
          <w:rFonts w:hint="eastAsia"/>
        </w:rPr>
        <w:t>5.3  方案制定</w:t>
      </w:r>
    </w:p>
    <w:p>
      <w:pPr>
        <w:pStyle w:val="59"/>
        <w:ind w:firstLine="0" w:firstLineChars="0"/>
      </w:pPr>
      <w:r>
        <w:rPr>
          <w:rFonts w:hint="eastAsia" w:ascii="黑体" w:hAnsi="黑体" w:eastAsia="黑体"/>
        </w:rPr>
        <w:t xml:space="preserve">5.3.1 </w:t>
      </w:r>
      <w:r>
        <w:rPr>
          <w:rFonts w:hint="eastAsia"/>
        </w:rPr>
        <w:t xml:space="preserve"> 根据危害评估结果制定综合防制方案，方案应包括但不限于以下内容：</w:t>
      </w:r>
    </w:p>
    <w:p>
      <w:pPr>
        <w:pStyle w:val="59"/>
        <w:ind w:firstLine="420"/>
      </w:pPr>
      <w:r>
        <w:rPr>
          <w:rFonts w:hint="eastAsia"/>
        </w:rPr>
        <w:t>a)</w:t>
      </w:r>
      <w:r>
        <w:rPr>
          <w:rFonts w:hint="eastAsia"/>
        </w:rPr>
        <w:tab/>
      </w:r>
      <w:r>
        <w:rPr>
          <w:rFonts w:hint="eastAsia"/>
        </w:rPr>
        <w:t>防制原则；</w:t>
      </w:r>
    </w:p>
    <w:p>
      <w:pPr>
        <w:pStyle w:val="59"/>
        <w:ind w:firstLine="420"/>
      </w:pPr>
      <w:r>
        <w:rPr>
          <w:rFonts w:hint="eastAsia"/>
        </w:rPr>
        <w:t>b)</w:t>
      </w:r>
      <w:r>
        <w:rPr>
          <w:rFonts w:hint="eastAsia"/>
        </w:rPr>
        <w:tab/>
      </w:r>
      <w:r>
        <w:rPr>
          <w:rFonts w:hint="eastAsia"/>
        </w:rPr>
        <w:t>防制目标；</w:t>
      </w:r>
    </w:p>
    <w:p>
      <w:pPr>
        <w:pStyle w:val="59"/>
        <w:ind w:firstLine="420"/>
      </w:pPr>
      <w:r>
        <w:rPr>
          <w:rFonts w:hint="eastAsia"/>
        </w:rPr>
        <w:t>c)</w:t>
      </w:r>
      <w:r>
        <w:rPr>
          <w:rFonts w:hint="eastAsia"/>
        </w:rPr>
        <w:tab/>
      </w:r>
      <w:r>
        <w:rPr>
          <w:rFonts w:hint="eastAsia"/>
        </w:rPr>
        <w:t>防制范围；</w:t>
      </w:r>
    </w:p>
    <w:p>
      <w:pPr>
        <w:pStyle w:val="59"/>
        <w:ind w:firstLine="420"/>
      </w:pPr>
      <w:r>
        <w:rPr>
          <w:rFonts w:hint="eastAsia"/>
        </w:rPr>
        <w:t>d)</w:t>
      </w:r>
      <w:r>
        <w:rPr>
          <w:rFonts w:hint="eastAsia"/>
        </w:rPr>
        <w:tab/>
      </w:r>
      <w:r>
        <w:rPr>
          <w:rFonts w:hint="eastAsia"/>
        </w:rPr>
        <w:t>环境治理；</w:t>
      </w:r>
    </w:p>
    <w:p>
      <w:pPr>
        <w:pStyle w:val="59"/>
        <w:ind w:firstLine="420"/>
      </w:pPr>
      <w:r>
        <w:rPr>
          <w:rFonts w:hint="eastAsia"/>
        </w:rPr>
        <w:t>e)</w:t>
      </w:r>
      <w:r>
        <w:rPr>
          <w:rFonts w:hint="eastAsia"/>
        </w:rPr>
        <w:tab/>
      </w:r>
      <w:r>
        <w:rPr>
          <w:rFonts w:hint="eastAsia"/>
        </w:rPr>
        <w:t>防鼠设施安装维护；</w:t>
      </w:r>
    </w:p>
    <w:p>
      <w:pPr>
        <w:pStyle w:val="59"/>
        <w:ind w:firstLine="420"/>
      </w:pPr>
      <w:r>
        <w:rPr>
          <w:rFonts w:hint="eastAsia"/>
        </w:rPr>
        <w:t>f)</w:t>
      </w:r>
      <w:r>
        <w:rPr>
          <w:rFonts w:hint="eastAsia"/>
        </w:rPr>
        <w:tab/>
      </w:r>
      <w:r>
        <w:rPr>
          <w:rFonts w:hint="eastAsia"/>
        </w:rPr>
        <w:t>物理防治；</w:t>
      </w:r>
    </w:p>
    <w:p>
      <w:pPr>
        <w:pStyle w:val="59"/>
        <w:ind w:firstLine="420"/>
      </w:pPr>
      <w:r>
        <w:rPr>
          <w:rFonts w:hint="eastAsia"/>
        </w:rPr>
        <w:t>g)</w:t>
      </w:r>
      <w:r>
        <w:rPr>
          <w:rFonts w:hint="eastAsia"/>
        </w:rPr>
        <w:tab/>
      </w:r>
      <w:r>
        <w:rPr>
          <w:rFonts w:hint="eastAsia"/>
        </w:rPr>
        <w:t>化学防治；</w:t>
      </w:r>
    </w:p>
    <w:p>
      <w:pPr>
        <w:pStyle w:val="59"/>
        <w:ind w:firstLine="420"/>
      </w:pPr>
      <w:r>
        <w:rPr>
          <w:rFonts w:hint="eastAsia"/>
        </w:rPr>
        <w:t>h)</w:t>
      </w:r>
      <w:r>
        <w:rPr>
          <w:rFonts w:hint="eastAsia"/>
        </w:rPr>
        <w:tab/>
      </w:r>
      <w:r>
        <w:rPr>
          <w:rFonts w:hint="eastAsia"/>
        </w:rPr>
        <w:t>其他防治方法；</w:t>
      </w:r>
    </w:p>
    <w:p>
      <w:pPr>
        <w:pStyle w:val="59"/>
        <w:ind w:firstLine="420"/>
      </w:pPr>
      <w:r>
        <w:rPr>
          <w:rFonts w:hint="eastAsia"/>
        </w:rPr>
        <w:t>i)  检查监督计划；</w:t>
      </w:r>
    </w:p>
    <w:p>
      <w:pPr>
        <w:pStyle w:val="59"/>
        <w:ind w:firstLine="420"/>
        <w:rPr>
          <w:rFonts w:ascii="黑体" w:hAnsi="黑体" w:eastAsia="黑体"/>
        </w:rPr>
      </w:pPr>
      <w:r>
        <w:rPr>
          <w:rFonts w:hint="eastAsia"/>
        </w:rPr>
        <w:t>j)</w:t>
      </w:r>
      <w:r>
        <w:rPr>
          <w:rFonts w:hint="eastAsia"/>
        </w:rPr>
        <w:tab/>
      </w:r>
      <w:r>
        <w:rPr>
          <w:rFonts w:hint="eastAsia"/>
        </w:rPr>
        <w:t>防制效果评价。</w:t>
      </w:r>
    </w:p>
    <w:p>
      <w:pPr>
        <w:pStyle w:val="59"/>
        <w:ind w:firstLine="0" w:firstLineChars="0"/>
        <w:rPr>
          <w:color w:val="000000"/>
        </w:rPr>
      </w:pPr>
      <w:r>
        <w:rPr>
          <w:rFonts w:hint="eastAsia" w:ascii="黑体" w:hAnsi="黑体" w:eastAsia="黑体"/>
        </w:rPr>
        <w:t xml:space="preserve">5.3.2  </w:t>
      </w:r>
      <w:r>
        <w:rPr>
          <w:rFonts w:hint="eastAsia"/>
          <w:color w:val="000000"/>
        </w:rPr>
        <w:t>防制方案应明确各相关方的责任与义务。</w:t>
      </w:r>
    </w:p>
    <w:p>
      <w:pPr>
        <w:pStyle w:val="107"/>
        <w:numPr>
          <w:ilvl w:val="0"/>
          <w:numId w:val="0"/>
        </w:numPr>
        <w:spacing w:before="156" w:after="156"/>
      </w:pPr>
      <w:r>
        <w:rPr>
          <w:rFonts w:hint="eastAsia"/>
        </w:rPr>
        <w:t>5.4  组织实施</w:t>
      </w:r>
    </w:p>
    <w:p>
      <w:pPr>
        <w:pStyle w:val="167"/>
        <w:numPr>
          <w:ilvl w:val="3"/>
          <w:numId w:val="0"/>
        </w:numPr>
        <w:rPr>
          <w:color w:val="000000"/>
        </w:rPr>
      </w:pPr>
      <w:r>
        <w:rPr>
          <w:rFonts w:hint="eastAsia" w:ascii="黑体" w:eastAsia="黑体"/>
          <w:color w:val="000000"/>
        </w:rPr>
        <w:t>5.4.1　</w:t>
      </w:r>
      <w:r>
        <w:rPr>
          <w:rFonts w:hint="eastAsia"/>
          <w:color w:val="000000"/>
        </w:rPr>
        <w:t>建立由学校主要负责人为第一责任人，分管负责人为直接责任人，食堂负责人为具体责任人，学校相关职能部门分工配合、各司其职的鼠类综合防制机制。</w:t>
      </w:r>
    </w:p>
    <w:p>
      <w:pPr>
        <w:pStyle w:val="167"/>
        <w:numPr>
          <w:ilvl w:val="3"/>
          <w:numId w:val="0"/>
        </w:numPr>
      </w:pPr>
      <w:r>
        <w:rPr>
          <w:rFonts w:hint="eastAsia" w:ascii="黑体" w:eastAsia="黑体"/>
        </w:rPr>
        <w:t>5.4.2　</w:t>
      </w:r>
      <w:r>
        <w:rPr>
          <w:rFonts w:hint="eastAsia"/>
        </w:rPr>
        <w:t>加强食堂鼠类防制相关人员防鼠灭鼠知识培训，重点培训鼠类的危害、防制技术要点、操作流程、安全作业须知和应急处置措施等。</w:t>
      </w:r>
    </w:p>
    <w:p>
      <w:pPr>
        <w:pStyle w:val="167"/>
        <w:numPr>
          <w:ilvl w:val="3"/>
          <w:numId w:val="0"/>
        </w:numPr>
      </w:pPr>
      <w:r>
        <w:rPr>
          <w:rFonts w:hint="eastAsia" w:ascii="黑体" w:eastAsia="黑体"/>
        </w:rPr>
        <w:t>5.4.3　</w:t>
      </w:r>
      <w:r>
        <w:rPr>
          <w:rFonts w:hint="eastAsia"/>
        </w:rPr>
        <w:t>鼠类防制操作人员应培训上岗，严格按照防制方案规范作业，防制过程中应及时记录。</w:t>
      </w:r>
    </w:p>
    <w:p>
      <w:pPr>
        <w:pStyle w:val="167"/>
        <w:numPr>
          <w:ilvl w:val="3"/>
          <w:numId w:val="0"/>
        </w:numPr>
      </w:pPr>
      <w:r>
        <w:rPr>
          <w:rFonts w:hint="eastAsia" w:ascii="黑体" w:eastAsia="黑体"/>
        </w:rPr>
        <w:t>5.4.4</w:t>
      </w:r>
      <w:r>
        <w:rPr>
          <w:rFonts w:hint="eastAsia"/>
        </w:rPr>
        <w:t xml:space="preserve">  实施鼠类防制工作后及时对鼠类防制效果进行评估，当防制效果未达预期时应分析原因并重新实施防制工作。</w:t>
      </w:r>
    </w:p>
    <w:p>
      <w:pPr>
        <w:pStyle w:val="167"/>
        <w:numPr>
          <w:ilvl w:val="3"/>
          <w:numId w:val="0"/>
        </w:numPr>
      </w:pPr>
      <w:r>
        <w:rPr>
          <w:rFonts w:hint="eastAsia" w:ascii="黑体" w:eastAsia="黑体"/>
        </w:rPr>
        <w:t>5.4.5　</w:t>
      </w:r>
      <w:r>
        <w:rPr>
          <w:rFonts w:hint="eastAsia"/>
        </w:rPr>
        <w:t>学校相关职能部门应开展监督检查。</w:t>
      </w:r>
    </w:p>
    <w:p>
      <w:pPr>
        <w:pStyle w:val="167"/>
        <w:numPr>
          <w:ilvl w:val="3"/>
          <w:numId w:val="0"/>
        </w:numPr>
      </w:pPr>
      <w:r>
        <w:rPr>
          <w:rFonts w:hint="eastAsia" w:ascii="黑体" w:eastAsia="黑体"/>
        </w:rPr>
        <w:t>5.4.6　</w:t>
      </w:r>
      <w:r>
        <w:rPr>
          <w:rFonts w:hint="eastAsia"/>
        </w:rPr>
        <w:t>学校应向教职员工和学生宣传鼠类的危害及防制知识。</w:t>
      </w:r>
    </w:p>
    <w:p>
      <w:pPr>
        <w:pStyle w:val="106"/>
        <w:numPr>
          <w:ilvl w:val="1"/>
          <w:numId w:val="0"/>
        </w:numPr>
        <w:spacing w:before="312" w:after="312"/>
      </w:pPr>
      <w:r>
        <w:rPr>
          <w:rFonts w:hint="eastAsia"/>
        </w:rPr>
        <w:t>6  技术要求</w:t>
      </w:r>
    </w:p>
    <w:p>
      <w:pPr>
        <w:pStyle w:val="107"/>
        <w:numPr>
          <w:ilvl w:val="0"/>
          <w:numId w:val="0"/>
        </w:numPr>
        <w:spacing w:before="156" w:after="156"/>
      </w:pPr>
      <w:r>
        <w:rPr>
          <w:rFonts w:hint="eastAsia"/>
        </w:rPr>
        <w:t xml:space="preserve">6.1  环境治理 </w:t>
      </w:r>
    </w:p>
    <w:p>
      <w:pPr>
        <w:pStyle w:val="167"/>
        <w:numPr>
          <w:ilvl w:val="3"/>
          <w:numId w:val="0"/>
        </w:numPr>
        <w:ind w:left="13" w:hanging="12" w:hangingChars="6"/>
        <w:rPr>
          <w:color w:val="000000"/>
        </w:rPr>
      </w:pPr>
      <w:r>
        <w:rPr>
          <w:rFonts w:hint="eastAsia" w:ascii="黑体" w:eastAsia="黑体"/>
          <w:color w:val="000000"/>
        </w:rPr>
        <w:t>6.1.1　</w:t>
      </w:r>
      <w:r>
        <w:rPr>
          <w:rFonts w:hint="eastAsia"/>
          <w:color w:val="000000"/>
        </w:rPr>
        <w:t>保持学校食堂及周边环境干净整洁，无卫生死角，食堂内外物品堆放有序。</w:t>
      </w:r>
    </w:p>
    <w:p>
      <w:pPr>
        <w:pStyle w:val="167"/>
        <w:numPr>
          <w:ilvl w:val="3"/>
          <w:numId w:val="0"/>
        </w:numPr>
        <w:ind w:left="13" w:hanging="12" w:hangingChars="6"/>
      </w:pPr>
      <w:r>
        <w:rPr>
          <w:rFonts w:hint="eastAsia" w:ascii="黑体" w:eastAsia="黑体"/>
        </w:rPr>
        <w:t>6.1.2　</w:t>
      </w:r>
      <w:r>
        <w:rPr>
          <w:rFonts w:hint="eastAsia"/>
        </w:rPr>
        <w:t>食堂周边绿化带、绿植及时修剪并清除枯枝烂叶。</w:t>
      </w:r>
    </w:p>
    <w:p>
      <w:pPr>
        <w:pStyle w:val="167"/>
        <w:numPr>
          <w:ilvl w:val="3"/>
          <w:numId w:val="0"/>
        </w:numPr>
        <w:ind w:left="13" w:hanging="12" w:hangingChars="6"/>
      </w:pPr>
      <w:r>
        <w:rPr>
          <w:rFonts w:hint="eastAsia" w:ascii="黑体" w:eastAsia="黑体"/>
        </w:rPr>
        <w:t>6.1.3　</w:t>
      </w:r>
      <w:r>
        <w:rPr>
          <w:rFonts w:hint="eastAsia"/>
        </w:rPr>
        <w:t>食堂内地面及食堂周边环境至少 1 m 范围内的地面应硬化。</w:t>
      </w:r>
    </w:p>
    <w:p>
      <w:pPr>
        <w:pStyle w:val="167"/>
        <w:numPr>
          <w:ilvl w:val="3"/>
          <w:numId w:val="0"/>
        </w:numPr>
        <w:ind w:left="13" w:hanging="12" w:hangingChars="6"/>
      </w:pPr>
      <w:r>
        <w:rPr>
          <w:rFonts w:hint="eastAsia" w:ascii="黑体" w:eastAsia="黑体"/>
        </w:rPr>
        <w:t>6.1.4　</w:t>
      </w:r>
      <w:r>
        <w:rPr>
          <w:rFonts w:hint="eastAsia"/>
        </w:rPr>
        <w:t>建筑物外墙面宜贴瓷砖或水泥抹面，与硬化地面紧密相连无缝隙，封堵食堂与外界相通的水、电、气、空调等管线孔洞、缝隙和食堂房间天花板鼠类侵入通道。</w:t>
      </w:r>
    </w:p>
    <w:p>
      <w:pPr>
        <w:pStyle w:val="167"/>
        <w:numPr>
          <w:ilvl w:val="3"/>
          <w:numId w:val="0"/>
        </w:numPr>
        <w:ind w:left="13" w:hanging="12" w:hangingChars="6"/>
      </w:pPr>
      <w:r>
        <w:rPr>
          <w:rFonts w:hint="eastAsia" w:ascii="黑体" w:eastAsia="黑体"/>
        </w:rPr>
        <w:t>6.1.5　</w:t>
      </w:r>
      <w:r>
        <w:rPr>
          <w:rFonts w:hint="eastAsia"/>
        </w:rPr>
        <w:t>学校垃圾实行袋装化管理，日产日清，垃圾桶加盖封闭、无破损、不渗漏；垃圾暂存点地面硬化，生活垃圾暂存点不应设置在食堂周边区域，重点加强餐厨垃圾管理和收集容器卫生保洁。</w:t>
      </w:r>
    </w:p>
    <w:p>
      <w:pPr>
        <w:pStyle w:val="167"/>
        <w:numPr>
          <w:ilvl w:val="3"/>
          <w:numId w:val="0"/>
        </w:numPr>
        <w:ind w:left="13" w:hanging="12" w:hangingChars="6"/>
      </w:pPr>
      <w:r>
        <w:rPr>
          <w:rFonts w:hint="eastAsia" w:ascii="黑体" w:eastAsia="黑体"/>
        </w:rPr>
        <w:t>6.1.6　</w:t>
      </w:r>
      <w:r>
        <w:rPr>
          <w:rFonts w:hint="eastAsia"/>
        </w:rPr>
        <w:t>食品库房内的所有食材、调料统一上货架，离地、离墙不少于 10 cm，整齐摆放。</w:t>
      </w:r>
    </w:p>
    <w:p>
      <w:pPr>
        <w:pStyle w:val="107"/>
        <w:numPr>
          <w:ilvl w:val="0"/>
          <w:numId w:val="0"/>
        </w:numPr>
        <w:spacing w:before="156" w:after="156"/>
      </w:pPr>
      <w:r>
        <w:rPr>
          <w:rFonts w:hint="eastAsia"/>
        </w:rPr>
        <w:t>6.2  防鼠设施</w:t>
      </w:r>
    </w:p>
    <w:p>
      <w:pPr>
        <w:pStyle w:val="167"/>
        <w:numPr>
          <w:ilvl w:val="3"/>
          <w:numId w:val="0"/>
        </w:numPr>
        <w:ind w:left="13" w:hanging="12" w:hangingChars="6"/>
      </w:pPr>
      <w:r>
        <w:rPr>
          <w:rFonts w:hint="eastAsia" w:ascii="黑体" w:eastAsia="黑体"/>
        </w:rPr>
        <w:t>6.2.1　</w:t>
      </w:r>
      <w:r>
        <w:rPr>
          <w:rFonts w:hint="eastAsia"/>
        </w:rPr>
        <w:t>食堂餐厅、厨房、食品库房等重点场所应安装防鼠设施。</w:t>
      </w:r>
    </w:p>
    <w:p>
      <w:pPr>
        <w:pStyle w:val="167"/>
        <w:numPr>
          <w:ilvl w:val="3"/>
          <w:numId w:val="0"/>
        </w:numPr>
      </w:pPr>
      <w:r>
        <w:rPr>
          <w:rFonts w:hint="eastAsia" w:ascii="黑体" w:eastAsia="黑体"/>
        </w:rPr>
        <w:t>6.2.2　</w:t>
      </w:r>
      <w:r>
        <w:rPr>
          <w:rFonts w:hint="eastAsia"/>
        </w:rPr>
        <w:t>排风扇、换气口等加装孔径小于 0.6 cm 金属网罩。</w:t>
      </w:r>
    </w:p>
    <w:p>
      <w:pPr>
        <w:pStyle w:val="167"/>
        <w:numPr>
          <w:ilvl w:val="3"/>
          <w:numId w:val="0"/>
        </w:numPr>
      </w:pPr>
      <w:r>
        <w:rPr>
          <w:rFonts w:hint="eastAsia" w:ascii="黑体" w:eastAsia="黑体"/>
        </w:rPr>
        <w:t>6.2.3　</w:t>
      </w:r>
      <w:r>
        <w:rPr>
          <w:rFonts w:hint="eastAsia"/>
        </w:rPr>
        <w:t>厨房、</w:t>
      </w:r>
      <w:r>
        <w:rPr>
          <w:rFonts w:hint="eastAsia"/>
          <w:color w:val="000000"/>
        </w:rPr>
        <w:t xml:space="preserve">餐厅通向外环境木质门的门框和门的下部应镶高度不低于 30 </w:t>
      </w:r>
      <w:r>
        <w:rPr>
          <w:rFonts w:hint="eastAsia"/>
        </w:rPr>
        <w:t>cm</w:t>
      </w:r>
      <w:r>
        <w:rPr>
          <w:rFonts w:hint="eastAsia"/>
          <w:color w:val="000000"/>
        </w:rPr>
        <w:t xml:space="preserve"> 的不易生锈的金属板（如不锈钢板、铝板等）。食品库房门口应设高度不低于 60 </w:t>
      </w:r>
      <w:r>
        <w:rPr>
          <w:rFonts w:hint="eastAsia"/>
        </w:rPr>
        <w:t>cm</w:t>
      </w:r>
      <w:r>
        <w:rPr>
          <w:rFonts w:hint="eastAsia"/>
          <w:color w:val="000000"/>
        </w:rPr>
        <w:t xml:space="preserve"> 的挡鼠板。</w:t>
      </w:r>
    </w:p>
    <w:p>
      <w:pPr>
        <w:pStyle w:val="167"/>
        <w:numPr>
          <w:ilvl w:val="3"/>
          <w:numId w:val="0"/>
        </w:numPr>
      </w:pPr>
      <w:r>
        <w:rPr>
          <w:rFonts w:hint="eastAsia" w:ascii="黑体" w:eastAsia="黑体"/>
        </w:rPr>
        <w:t>6.2.4　</w:t>
      </w:r>
      <w:r>
        <w:rPr>
          <w:rFonts w:hint="eastAsia"/>
        </w:rPr>
        <w:t>厨房、餐厅、食品库房以及厨房辅助区域所有门缝间隙均应小于 0.6 cm。</w:t>
      </w:r>
    </w:p>
    <w:p>
      <w:pPr>
        <w:pStyle w:val="167"/>
        <w:numPr>
          <w:ilvl w:val="3"/>
          <w:numId w:val="0"/>
        </w:numPr>
      </w:pPr>
      <w:r>
        <w:rPr>
          <w:rFonts w:hint="eastAsia" w:ascii="黑体" w:eastAsia="黑体"/>
        </w:rPr>
        <w:t>6.2.5　</w:t>
      </w:r>
      <w:r>
        <w:rPr>
          <w:rFonts w:hint="eastAsia"/>
        </w:rPr>
        <w:t>厨房操作间下水道口安装缝隙小于 1 cm 且无缺损的金属竖箅子，若出水口没有竖箅子，排水沟上应设置缝隙小于 1 cm 且无缺损的金属横箅子或栏栅孔直径小于 1 cm 的金属盖板，箅子之间接口要严密，宜同时安装竖箅子和横箅子。室内地漏要加盖。</w:t>
      </w:r>
    </w:p>
    <w:p>
      <w:pPr>
        <w:pStyle w:val="167"/>
        <w:numPr>
          <w:ilvl w:val="3"/>
          <w:numId w:val="0"/>
        </w:numPr>
      </w:pPr>
      <w:r>
        <w:rPr>
          <w:rFonts w:hint="eastAsia" w:ascii="黑体" w:eastAsia="黑体"/>
        </w:rPr>
        <w:t>6.2.6　</w:t>
      </w:r>
      <w:r>
        <w:rPr>
          <w:rFonts w:hint="eastAsia"/>
        </w:rPr>
        <w:t>食堂窗户无破损，应安装孔径小于0.6 cm 的金属纱窗。</w:t>
      </w:r>
    </w:p>
    <w:p>
      <w:pPr>
        <w:pStyle w:val="167"/>
        <w:numPr>
          <w:ilvl w:val="3"/>
          <w:numId w:val="0"/>
        </w:numPr>
      </w:pPr>
      <w:r>
        <w:rPr>
          <w:rFonts w:hint="eastAsia" w:ascii="黑体" w:eastAsia="黑体"/>
        </w:rPr>
        <w:t>6.2.7　</w:t>
      </w:r>
      <w:r>
        <w:rPr>
          <w:rFonts w:hint="eastAsia"/>
        </w:rPr>
        <w:t>食堂外墙屋顶落水管道口可设置孔径小于 0.6 cm 的防鼠网，防止鼠类从落水管内部进入室内；食堂外墙其他管线可设置开口向下的锥形防鼠挡板或圆形挡鼠板，详见附录C。</w:t>
      </w:r>
    </w:p>
    <w:p>
      <w:pPr>
        <w:pStyle w:val="107"/>
        <w:numPr>
          <w:ilvl w:val="0"/>
          <w:numId w:val="0"/>
        </w:numPr>
        <w:spacing w:before="156" w:after="156"/>
      </w:pPr>
      <w:r>
        <w:rPr>
          <w:rFonts w:hint="eastAsia"/>
        </w:rPr>
        <w:t>6.3  物理防治</w:t>
      </w:r>
    </w:p>
    <w:p>
      <w:pPr>
        <w:pStyle w:val="167"/>
        <w:numPr>
          <w:ilvl w:val="3"/>
          <w:numId w:val="0"/>
        </w:numPr>
      </w:pPr>
      <w:r>
        <w:rPr>
          <w:rFonts w:hint="eastAsia" w:ascii="黑体" w:eastAsia="黑体"/>
          <w:color w:val="000000"/>
        </w:rPr>
        <w:t>6.3.1　</w:t>
      </w:r>
      <w:r>
        <w:rPr>
          <w:rFonts w:hint="eastAsia"/>
        </w:rPr>
        <w:t>食</w:t>
      </w:r>
      <w:r>
        <w:rPr>
          <w:rFonts w:hint="eastAsia"/>
          <w:color w:val="000000"/>
        </w:rPr>
        <w:t>堂内部</w:t>
      </w:r>
      <w:r>
        <w:rPr>
          <w:rFonts w:hint="eastAsia"/>
        </w:rPr>
        <w:t>可采用鼠夹、鼠笼、电子捕鼠器、粘鼠板等物理灭鼠器具, 按照侵害调查中确定的重点部位靠墙根布放在老鼠经常活动的路线上，每天检查、维护。</w:t>
      </w:r>
    </w:p>
    <w:p>
      <w:pPr>
        <w:pStyle w:val="167"/>
        <w:numPr>
          <w:ilvl w:val="3"/>
          <w:numId w:val="0"/>
        </w:numPr>
      </w:pPr>
      <w:r>
        <w:rPr>
          <w:rFonts w:hint="eastAsia" w:ascii="黑体" w:eastAsia="黑体"/>
        </w:rPr>
        <w:t>6.3.2　</w:t>
      </w:r>
      <w:r>
        <w:rPr>
          <w:rFonts w:hint="eastAsia"/>
        </w:rPr>
        <w:t>使用鼠夹或鼠笼等器具灭鼠时，使用前应对器具逐一进行有效性检查，诱饵宜选用鼠类喜食的新鲜食物。</w:t>
      </w:r>
    </w:p>
    <w:p>
      <w:pPr>
        <w:pStyle w:val="167"/>
        <w:numPr>
          <w:ilvl w:val="3"/>
          <w:numId w:val="0"/>
        </w:numPr>
      </w:pPr>
      <w:r>
        <w:rPr>
          <w:rFonts w:hint="eastAsia" w:ascii="黑体" w:eastAsia="黑体"/>
        </w:rPr>
        <w:t>6.3.3　</w:t>
      </w:r>
      <w:r>
        <w:rPr>
          <w:rFonts w:hint="eastAsia"/>
        </w:rPr>
        <w:t>使用鼠夹时应放置在人员正常活动不易接触的区域。</w:t>
      </w:r>
    </w:p>
    <w:p>
      <w:pPr>
        <w:pStyle w:val="167"/>
        <w:numPr>
          <w:ilvl w:val="3"/>
          <w:numId w:val="0"/>
        </w:numPr>
      </w:pPr>
      <w:r>
        <w:rPr>
          <w:rFonts w:hint="eastAsia" w:ascii="黑体" w:eastAsia="黑体"/>
        </w:rPr>
        <w:t>6.3.4　</w:t>
      </w:r>
      <w:r>
        <w:rPr>
          <w:rFonts w:hint="eastAsia"/>
        </w:rPr>
        <w:t>使用的电子捕鼠器应具有安全性检测合格证书，并由专业技术人员操作，宜在夜间无人的条件下使用，注意安全。</w:t>
      </w:r>
    </w:p>
    <w:p>
      <w:pPr>
        <w:pStyle w:val="167"/>
        <w:numPr>
          <w:ilvl w:val="3"/>
          <w:numId w:val="0"/>
        </w:numPr>
      </w:pPr>
      <w:r>
        <w:rPr>
          <w:rFonts w:hint="eastAsia" w:ascii="黑体" w:eastAsia="黑体"/>
        </w:rPr>
        <w:t>6.3.5　</w:t>
      </w:r>
      <w:r>
        <w:rPr>
          <w:rFonts w:hint="eastAsia" w:asciiTheme="minorEastAsia" w:hAnsiTheme="minorEastAsia" w:eastAsiaTheme="minorEastAsia"/>
        </w:rPr>
        <w:t>使用粘鼠板时，</w:t>
      </w:r>
      <w:r>
        <w:rPr>
          <w:rFonts w:hint="eastAsia"/>
        </w:rPr>
        <w:t>不应放置在潮湿、多灰和阳光直射的环境及人员正常活动可触及的区域。</w:t>
      </w:r>
    </w:p>
    <w:p>
      <w:pPr>
        <w:pStyle w:val="107"/>
        <w:numPr>
          <w:ilvl w:val="0"/>
          <w:numId w:val="0"/>
        </w:numPr>
        <w:spacing w:before="156" w:after="156"/>
      </w:pPr>
      <w:r>
        <w:rPr>
          <w:rFonts w:hint="eastAsia"/>
        </w:rPr>
        <w:t>6.4  化学防治</w:t>
      </w:r>
    </w:p>
    <w:p>
      <w:pPr>
        <w:pStyle w:val="167"/>
        <w:numPr>
          <w:ilvl w:val="3"/>
          <w:numId w:val="0"/>
        </w:numPr>
        <w:ind w:left="13" w:hanging="12" w:hangingChars="6"/>
      </w:pPr>
      <w:r>
        <w:rPr>
          <w:rFonts w:hint="eastAsia" w:ascii="黑体" w:eastAsia="黑体"/>
          <w:color w:val="000000"/>
        </w:rPr>
        <w:t>6.4.1　</w:t>
      </w:r>
      <w:r>
        <w:rPr>
          <w:rFonts w:hint="eastAsia"/>
          <w:color w:val="000000"/>
        </w:rPr>
        <w:t>食堂室内不应使用化学方法灭鼠，</w:t>
      </w:r>
      <w:r>
        <w:rPr>
          <w:rFonts w:hint="eastAsia"/>
        </w:rPr>
        <w:t>室外灭鼠可使用毒饵等化学方法。</w:t>
      </w:r>
    </w:p>
    <w:p>
      <w:pPr>
        <w:pStyle w:val="167"/>
        <w:numPr>
          <w:ilvl w:val="3"/>
          <w:numId w:val="0"/>
        </w:numPr>
        <w:ind w:left="13" w:hanging="12" w:hangingChars="6"/>
      </w:pPr>
      <w:r>
        <w:rPr>
          <w:rFonts w:hint="eastAsia" w:ascii="黑体" w:eastAsia="黑体"/>
        </w:rPr>
        <w:t>6.4.2　</w:t>
      </w:r>
      <w:r>
        <w:rPr>
          <w:rFonts w:hint="eastAsia"/>
        </w:rPr>
        <w:t>毒饵灭鼠时选用适口性好的抗凝血类或其他安全环保的杀鼠剂。</w:t>
      </w:r>
    </w:p>
    <w:p>
      <w:pPr>
        <w:pStyle w:val="167"/>
        <w:numPr>
          <w:ilvl w:val="3"/>
          <w:numId w:val="0"/>
        </w:numPr>
        <w:ind w:left="13" w:hanging="12" w:hangingChars="6"/>
      </w:pPr>
      <w:r>
        <w:rPr>
          <w:rFonts w:hint="eastAsia" w:ascii="黑体" w:eastAsia="黑体"/>
        </w:rPr>
        <w:t>6.4.3　</w:t>
      </w:r>
      <w:r>
        <w:rPr>
          <w:rFonts w:hint="eastAsia"/>
        </w:rPr>
        <w:t>采用毒饵灭鼠前应发布通告，加强在校师生安全教育，制定意外事件处置措施。</w:t>
      </w:r>
    </w:p>
    <w:p>
      <w:pPr>
        <w:pStyle w:val="167"/>
        <w:numPr>
          <w:ilvl w:val="3"/>
          <w:numId w:val="0"/>
        </w:numPr>
        <w:ind w:left="13" w:hanging="12" w:hangingChars="6"/>
      </w:pPr>
      <w:r>
        <w:rPr>
          <w:rFonts w:hint="eastAsia" w:ascii="黑体" w:eastAsia="黑体"/>
        </w:rPr>
        <w:t>6.4.4</w:t>
      </w:r>
      <w:r>
        <w:rPr>
          <w:rFonts w:hint="eastAsia"/>
        </w:rPr>
        <w:t>　毒饵应固定置于抗干预型灭鼠毒饵站内，毒饵站应固定安装，并设置明显的警示标识，在食堂周边外环境绿化带、围墙内、建筑物墙根、垃圾暂存点等区域，沿鼠道贴墙、贴地，每隔 10 m～15 m 布放 1 个点位。</w:t>
      </w:r>
    </w:p>
    <w:p>
      <w:pPr>
        <w:pStyle w:val="167"/>
        <w:numPr>
          <w:ilvl w:val="3"/>
          <w:numId w:val="0"/>
        </w:numPr>
        <w:ind w:left="13" w:hanging="12" w:hangingChars="6"/>
      </w:pPr>
      <w:r>
        <w:rPr>
          <w:rFonts w:hint="eastAsia" w:ascii="黑体" w:eastAsia="黑体"/>
          <w:color w:val="000000"/>
        </w:rPr>
        <w:t>6.4.5　</w:t>
      </w:r>
      <w:r>
        <w:rPr>
          <w:rFonts w:hint="eastAsia"/>
          <w:color w:val="000000"/>
        </w:rPr>
        <w:t>毒饵站应设置在隐蔽、不宜接触的位置，并远离雨水排水口、空调冷凝水排水口等潮湿位置或地势低洼的位置，毒饵站两端出入口 50 c</w:t>
      </w:r>
      <w:r>
        <w:rPr>
          <w:rFonts w:hint="eastAsia"/>
        </w:rPr>
        <w:t>m 内无障碍物，不应在人员进出频繁的门口两侧和人员通道旁设置，记录好布放点位、投放日期等相关信息，毒饵防治作业记录表可参见附录D。</w:t>
      </w:r>
    </w:p>
    <w:p>
      <w:pPr>
        <w:pStyle w:val="167"/>
        <w:numPr>
          <w:ilvl w:val="3"/>
          <w:numId w:val="0"/>
        </w:numPr>
        <w:ind w:left="13" w:hanging="12" w:hangingChars="6"/>
        <w:rPr>
          <w:color w:val="000000"/>
        </w:rPr>
      </w:pPr>
      <w:r>
        <w:rPr>
          <w:rFonts w:hint="eastAsia" w:ascii="黑体" w:eastAsia="黑体"/>
          <w:color w:val="000000"/>
        </w:rPr>
        <w:t>6.4.6　</w:t>
      </w:r>
      <w:r>
        <w:rPr>
          <w:rFonts w:hint="eastAsia"/>
          <w:color w:val="000000"/>
        </w:rPr>
        <w:t>食堂及周边下水道、管线井等场所灭鼠可使用悬挂蜡块毒饵方法，在竹片或木棍上捆绑或用铁丝钩挂抗凝血灭鼠剂蜡块毒饵，斜插在下水道，放置毒饵的位置应高出井底地面或水面 2</w:t>
      </w:r>
      <w:r>
        <w:rPr>
          <w:color w:val="000000"/>
        </w:rPr>
        <w:t>0</w:t>
      </w:r>
      <w:r>
        <w:rPr>
          <w:rFonts w:hint="eastAsia"/>
          <w:color w:val="000000"/>
        </w:rPr>
        <w:t xml:space="preserve"> cm。</w:t>
      </w:r>
    </w:p>
    <w:p>
      <w:pPr>
        <w:pStyle w:val="167"/>
        <w:numPr>
          <w:ilvl w:val="3"/>
          <w:numId w:val="0"/>
        </w:numPr>
        <w:ind w:left="13" w:hanging="12" w:hangingChars="6"/>
      </w:pPr>
      <w:r>
        <w:rPr>
          <w:rFonts w:hint="eastAsia" w:ascii="黑体" w:eastAsia="黑体"/>
        </w:rPr>
        <w:t xml:space="preserve">6.4.7  </w:t>
      </w:r>
      <w:r>
        <w:rPr>
          <w:rFonts w:hint="eastAsia"/>
        </w:rPr>
        <w:t>设置好抗干预型毒饵站后，由专人管理，发现鼠类侵害时，可在毒饵站内投放毒饵进行灭鼠，每个点位投放 20 g～30 g 毒饵。宜使用蜡块毒饵，不宜施放原粮制备的灭鼠毒饵，不应散投灭鼠毒饵。第一周每日或隔日检查毒饵消耗情况，吃多少补多少，吃完加倍补充，直至毒饵无明显消耗为止。之后，每隔 2 周至少检查一次毒饵站，记录毒饵消耗量去除霉变毒饵，更换新鲜毒饵。对连续 1 个月未被盗食的毒饵站可暂停投药</w:t>
      </w:r>
      <w:r>
        <w:rPr>
          <w:rFonts w:hint="eastAsia"/>
          <w:color w:val="00B050"/>
        </w:rPr>
        <w:t>。</w:t>
      </w:r>
    </w:p>
    <w:p>
      <w:pPr>
        <w:pStyle w:val="167"/>
        <w:numPr>
          <w:ilvl w:val="3"/>
          <w:numId w:val="0"/>
        </w:numPr>
        <w:ind w:left="13" w:hanging="12" w:hangingChars="6"/>
      </w:pPr>
      <w:r>
        <w:rPr>
          <w:rFonts w:hint="eastAsia" w:ascii="黑体" w:eastAsia="黑体"/>
        </w:rPr>
        <w:t>6.4.8　</w:t>
      </w:r>
      <w:r>
        <w:rPr>
          <w:rFonts w:hint="eastAsia"/>
        </w:rPr>
        <w:t xml:space="preserve">发现鼠洞时，可向鼠洞投放毒饵并及时封堵，定期检查，若鼠洞被掘开，双倍补投，直至不被掘开。 </w:t>
      </w:r>
    </w:p>
    <w:p>
      <w:pPr>
        <w:pStyle w:val="167"/>
        <w:numPr>
          <w:ilvl w:val="3"/>
          <w:numId w:val="0"/>
        </w:numPr>
        <w:ind w:left="13" w:hanging="12" w:hangingChars="6"/>
        <w:rPr>
          <w:rFonts w:ascii="方正仿宋_GBK"/>
          <w:sz w:val="28"/>
          <w:szCs w:val="28"/>
        </w:rPr>
      </w:pPr>
      <w:r>
        <w:rPr>
          <w:rFonts w:hint="eastAsia" w:ascii="黑体" w:eastAsia="黑体"/>
          <w:szCs w:val="28"/>
        </w:rPr>
        <w:t>6.4.9　</w:t>
      </w:r>
      <w:r>
        <w:rPr>
          <w:rFonts w:hint="eastAsia"/>
        </w:rPr>
        <w:t>灭鼠后及时清除鼠尸、鼠粪、鼠道、鼠咬痕等。</w:t>
      </w:r>
    </w:p>
    <w:p>
      <w:pPr>
        <w:pStyle w:val="107"/>
        <w:numPr>
          <w:ilvl w:val="0"/>
          <w:numId w:val="0"/>
        </w:numPr>
        <w:spacing w:before="156" w:after="156"/>
      </w:pPr>
      <w:r>
        <w:rPr>
          <w:rFonts w:hint="eastAsia"/>
        </w:rPr>
        <w:t>6.5  其他新型防治技术</w:t>
      </w:r>
    </w:p>
    <w:p>
      <w:pPr>
        <w:pStyle w:val="59"/>
        <w:ind w:firstLine="420"/>
      </w:pPr>
      <w:r>
        <w:t>学校食堂也可采用</w:t>
      </w:r>
      <w:r>
        <w:rPr>
          <w:rFonts w:hint="eastAsia"/>
        </w:rPr>
        <w:t>智能化防鼠、灭鼠方法。</w:t>
      </w:r>
    </w:p>
    <w:p>
      <w:pPr>
        <w:pStyle w:val="107"/>
        <w:numPr>
          <w:ilvl w:val="0"/>
          <w:numId w:val="0"/>
        </w:numPr>
        <w:spacing w:before="156" w:after="156"/>
      </w:pPr>
      <w:r>
        <w:rPr>
          <w:rFonts w:hint="eastAsia"/>
        </w:rPr>
        <w:t>6.6  药物管理与防护要求</w:t>
      </w:r>
    </w:p>
    <w:p>
      <w:pPr>
        <w:pStyle w:val="167"/>
        <w:numPr>
          <w:ilvl w:val="3"/>
          <w:numId w:val="0"/>
        </w:numPr>
      </w:pPr>
      <w:r>
        <w:rPr>
          <w:rFonts w:hint="eastAsia" w:ascii="黑体" w:eastAsia="黑体"/>
        </w:rPr>
        <w:t>6.6.1　</w:t>
      </w:r>
      <w:r>
        <w:rPr>
          <w:rFonts w:hint="eastAsia"/>
        </w:rPr>
        <w:t>防制药物应具有农药生产许可证号、农药标准号和农药登记证号并在有效期内。</w:t>
      </w:r>
    </w:p>
    <w:p>
      <w:pPr>
        <w:pStyle w:val="167"/>
        <w:numPr>
          <w:ilvl w:val="3"/>
          <w:numId w:val="0"/>
        </w:numPr>
      </w:pPr>
      <w:r>
        <w:rPr>
          <w:rFonts w:hint="eastAsia" w:ascii="黑体" w:eastAsia="黑体"/>
        </w:rPr>
        <w:t>6.6.2　</w:t>
      </w:r>
      <w:r>
        <w:rPr>
          <w:rFonts w:hint="eastAsia"/>
        </w:rPr>
        <w:t>灭鼠毒饵采购原始凭证和用药记录至少保留 2 年。</w:t>
      </w:r>
    </w:p>
    <w:p>
      <w:pPr>
        <w:pStyle w:val="167"/>
        <w:numPr>
          <w:ilvl w:val="3"/>
          <w:numId w:val="0"/>
        </w:numPr>
      </w:pPr>
      <w:r>
        <w:rPr>
          <w:rFonts w:hint="eastAsia" w:ascii="黑体" w:eastAsia="黑体"/>
        </w:rPr>
        <w:t>6.6.3　</w:t>
      </w:r>
      <w:r>
        <w:rPr>
          <w:rFonts w:hint="eastAsia"/>
        </w:rPr>
        <w:t>灭鼠毒饵应按需购买，随用随买。临时存放应置于通风、阴凉、干燥、避光的专用库房，利用货架分类、离地、隔墙摆放；不应存放在食堂区域范围内，不与其他卫生杀虫剂混合存放。库房应配备防火、防爆、防盗等安全措施，有专人负责药物保管和出入库登记。</w:t>
      </w:r>
    </w:p>
    <w:p>
      <w:pPr>
        <w:pStyle w:val="167"/>
        <w:numPr>
          <w:ilvl w:val="3"/>
          <w:numId w:val="0"/>
        </w:numPr>
        <w:rPr>
          <w:color w:val="000000"/>
        </w:rPr>
      </w:pPr>
      <w:r>
        <w:rPr>
          <w:rFonts w:hint="eastAsia" w:ascii="黑体" w:eastAsia="黑体"/>
          <w:color w:val="000000"/>
        </w:rPr>
        <w:t>6.6.4　</w:t>
      </w:r>
      <w:r>
        <w:rPr>
          <w:rFonts w:hint="eastAsia"/>
          <w:color w:val="000000"/>
        </w:rPr>
        <w:t>回收毒饵、过期毒饵应集中存放，防止泄露，并委托具备危险废弃物经营许可证的单位统一回收处理，药物包装可作有害垃圾处理，不应随意丢弃。</w:t>
      </w:r>
    </w:p>
    <w:p>
      <w:pPr>
        <w:pStyle w:val="167"/>
        <w:numPr>
          <w:ilvl w:val="3"/>
          <w:numId w:val="0"/>
        </w:numPr>
        <w:rPr>
          <w:color w:val="000000"/>
        </w:rPr>
      </w:pPr>
      <w:r>
        <w:rPr>
          <w:rFonts w:hint="eastAsia" w:ascii="黑体" w:eastAsia="黑体"/>
          <w:color w:val="000000"/>
        </w:rPr>
        <w:t xml:space="preserve">6.6.5 </w:t>
      </w:r>
      <w:r>
        <w:rPr>
          <w:rFonts w:hint="eastAsia"/>
          <w:color w:val="000000"/>
        </w:rPr>
        <w:t xml:space="preserve"> 在投放鼠药和清除</w:t>
      </w:r>
      <w:r>
        <w:rPr>
          <w:rFonts w:hint="eastAsia"/>
        </w:rPr>
        <w:t>鼠尸、鼠粪、鼠道、鼠咬痕等</w:t>
      </w:r>
      <w:r>
        <w:rPr>
          <w:rFonts w:hint="eastAsia"/>
          <w:color w:val="000000"/>
        </w:rPr>
        <w:t>时应佩戴医用外科口罩、一次性橡胶手套，身着工作服，鼠药用药勺或其它盛器</w:t>
      </w:r>
      <w:r>
        <w:rPr>
          <w:rFonts w:hint="eastAsia"/>
        </w:rPr>
        <w:t>投放，鼠尸用长柄镊等工具夹入塑料袋中密封并作有害垃圾处理。作</w:t>
      </w:r>
      <w:r>
        <w:rPr>
          <w:rFonts w:hint="eastAsia"/>
          <w:color w:val="000000"/>
        </w:rPr>
        <w:t>业过程中不应吸烟、进食。</w:t>
      </w:r>
    </w:p>
    <w:p>
      <w:pPr>
        <w:pStyle w:val="167"/>
        <w:numPr>
          <w:ilvl w:val="3"/>
          <w:numId w:val="0"/>
        </w:numPr>
        <w:rPr>
          <w:color w:val="000000"/>
        </w:rPr>
      </w:pPr>
      <w:r>
        <w:rPr>
          <w:rFonts w:hint="eastAsia" w:ascii="黑体" w:eastAsia="黑体"/>
          <w:color w:val="000000"/>
        </w:rPr>
        <w:t xml:space="preserve">6.6.6  </w:t>
      </w:r>
      <w:r>
        <w:rPr>
          <w:rFonts w:hint="eastAsia"/>
          <w:color w:val="000000"/>
        </w:rPr>
        <w:t>灭鼠作业结束后，应先用肥皂洗手，脱下工作服后，再次洗手，使用后的工作服应洗涤后再用。</w:t>
      </w:r>
    </w:p>
    <w:p>
      <w:pPr>
        <w:pStyle w:val="167"/>
        <w:numPr>
          <w:ilvl w:val="3"/>
          <w:numId w:val="0"/>
        </w:numPr>
        <w:rPr>
          <w:color w:val="000000"/>
        </w:rPr>
      </w:pPr>
      <w:r>
        <w:rPr>
          <w:rFonts w:hint="eastAsia" w:ascii="黑体" w:eastAsia="黑体"/>
          <w:color w:val="000000"/>
        </w:rPr>
        <w:t>6.6.7</w:t>
      </w:r>
      <w:r>
        <w:rPr>
          <w:rFonts w:hint="eastAsia"/>
          <w:color w:val="000000"/>
        </w:rPr>
        <w:t xml:space="preserve">  一旦发生人员误食事件，及时送医处理。维生素 K</w:t>
      </w:r>
      <w:r>
        <w:rPr>
          <w:color w:val="000000"/>
          <w:vertAlign w:val="subscript"/>
        </w:rPr>
        <w:t>1</w:t>
      </w:r>
      <w:r>
        <w:rPr>
          <w:rFonts w:hint="eastAsia"/>
          <w:color w:val="000000"/>
        </w:rPr>
        <w:t>为抗凝血类杀鼠剂的特效解毒剂。</w:t>
      </w:r>
    </w:p>
    <w:p>
      <w:pPr>
        <w:pStyle w:val="106"/>
        <w:numPr>
          <w:ilvl w:val="1"/>
          <w:numId w:val="0"/>
        </w:numPr>
        <w:spacing w:before="312" w:after="312"/>
        <w:rPr>
          <w:rFonts w:hAnsi="黑体"/>
        </w:rPr>
      </w:pPr>
      <w:r>
        <w:rPr>
          <w:rFonts w:hint="eastAsia" w:hAnsi="黑体"/>
        </w:rPr>
        <w:t>7  效果评估</w:t>
      </w:r>
    </w:p>
    <w:p>
      <w:pPr>
        <w:pStyle w:val="107"/>
        <w:numPr>
          <w:ilvl w:val="0"/>
          <w:numId w:val="0"/>
        </w:numPr>
        <w:spacing w:before="156" w:after="156"/>
      </w:pPr>
      <w:r>
        <w:rPr>
          <w:rFonts w:hint="eastAsia"/>
        </w:rPr>
        <w:t>7.1  防制效果</w:t>
      </w:r>
    </w:p>
    <w:p>
      <w:pPr>
        <w:pStyle w:val="107"/>
        <w:numPr>
          <w:ilvl w:val="0"/>
          <w:numId w:val="0"/>
        </w:numPr>
        <w:spacing w:beforeLines="0" w:afterLines="0"/>
        <w:ind w:firstLine="420" w:firstLineChars="200"/>
        <w:rPr>
          <w:rFonts w:ascii="宋体" w:hAnsi="宋体" w:eastAsia="宋体" w:cs="宋体"/>
        </w:rPr>
      </w:pPr>
      <w:r>
        <w:rPr>
          <w:rFonts w:hint="eastAsia" w:ascii="宋体" w:hAnsi="宋体" w:eastAsia="宋体" w:cs="宋体"/>
          <w:color w:val="000000"/>
        </w:rPr>
        <w:t>采用相同的</w:t>
      </w:r>
      <w:r>
        <w:rPr>
          <w:rFonts w:hint="eastAsia" w:ascii="宋体" w:hAnsi="宋体" w:eastAsia="宋体" w:cs="宋体"/>
        </w:rPr>
        <w:t>鼠类密度监测方法调查防制前</w:t>
      </w:r>
      <w:r>
        <w:rPr>
          <w:rFonts w:hint="eastAsia" w:ascii="宋体" w:hAnsi="宋体" w:eastAsia="宋体" w:cs="宋体"/>
          <w:color w:val="000000"/>
        </w:rPr>
        <w:t>一周内和处置2</w:t>
      </w:r>
      <w:r>
        <w:rPr>
          <w:rFonts w:hint="eastAsia" w:ascii="宋体" w:hAnsi="宋体" w:eastAsia="宋体" w:cs="宋体"/>
        </w:rPr>
        <w:t>～</w:t>
      </w:r>
      <w:r>
        <w:rPr>
          <w:rFonts w:hint="eastAsia" w:ascii="宋体" w:hAnsi="宋体" w:eastAsia="宋体" w:cs="宋体"/>
          <w:color w:val="000000"/>
        </w:rPr>
        <w:t>3 周后的密度变化情况，以密度下降率评价防制效果，</w:t>
      </w:r>
      <w:r>
        <w:rPr>
          <w:rFonts w:hint="eastAsia" w:ascii="宋体" w:hAnsi="宋体" w:eastAsia="宋体" w:cs="宋体"/>
        </w:rPr>
        <w:t xml:space="preserve">当密度下降率≥ 80% 时，说明防制效果明显。密度下降率计算见公式（1）。 </w:t>
      </w:r>
    </w:p>
    <w:p>
      <w:pPr>
        <w:pStyle w:val="59"/>
        <w:ind w:firstLine="420"/>
        <w:jc w:val="right"/>
      </w:pPr>
      <m:oMath>
        <m:r>
          <m:rPr/>
          <w:rPr>
            <w:rFonts w:hint="eastAsia" w:ascii="Cambria Math" w:hAnsi="Cambria Math"/>
          </w:rPr>
          <m:t>P</m:t>
        </m:r>
        <m:r>
          <m:rPr>
            <m:sty m:val="bi"/>
          </m:rPr>
          <w:rPr>
            <w:rFonts w:hint="eastAsia" w:ascii="Cambria Math" w:hAnsi="Cambria Math"/>
          </w:rPr>
          <m:t>=</m:t>
        </m:r>
        <m:f>
          <m:fPr>
            <m:ctrlPr>
              <w:rPr>
                <w:rFonts w:hint="eastAsia" w:ascii="Cambria Math" w:hAnsi="Cambria Math"/>
                <w:bCs/>
                <w:i/>
                <w:iCs/>
              </w:rPr>
            </m:ctrlPr>
          </m:fPr>
          <m:num>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ctrlPr>
              <w:rPr>
                <w:rFonts w:hint="eastAsia" w:ascii="Cambria Math" w:hAnsi="Cambria Math"/>
                <w:bCs/>
                <w:i/>
                <w:iCs/>
              </w:rPr>
            </m:ctrlPr>
          </m:num>
          <m:den>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a</m:t>
                </m:r>
                <m:ctrlPr>
                  <w:rPr>
                    <w:rFonts w:ascii="Cambria Math" w:hAnsi="Cambria Math"/>
                    <w:i/>
                  </w:rPr>
                </m:ctrlPr>
              </m:sub>
            </m:sSub>
            <m:ctrlPr>
              <w:rPr>
                <w:rFonts w:hint="eastAsia" w:ascii="Cambria Math" w:hAnsi="Cambria Math"/>
                <w:bCs/>
                <w:i/>
                <w:iCs/>
              </w:rPr>
            </m:ctrlPr>
          </m:den>
        </m:f>
        <m:r>
          <m:rPr>
            <m:sty m:val="p"/>
          </m:rPr>
          <w:rPr>
            <w:rFonts w:hint="eastAsia" w:ascii="Cambria Math" w:hAnsi="Cambria Math"/>
          </w:rPr>
          <m:t>×100%</m:t>
        </m:r>
      </m:oMath>
      <w:r>
        <w:rPr>
          <w:rFonts w:hint="eastAsia" w:ascii="微软雅黑" w:hAnsi="微软雅黑" w:eastAsia="微软雅黑"/>
        </w:rPr>
        <w:t>·····································································</w:t>
      </w:r>
      <w:r>
        <w:t>(</w:t>
      </w:r>
      <w:r>
        <w:fldChar w:fldCharType="begin"/>
      </w:r>
      <w:r>
        <w:instrText xml:space="preserve"> AUTONUM </w:instrText>
      </w:r>
      <w:r>
        <w:fldChar w:fldCharType="end"/>
      </w:r>
      <w:r>
        <w:t>)</w:t>
      </w:r>
    </w:p>
    <w:p>
      <w:pPr>
        <w:pStyle w:val="59"/>
        <w:ind w:firstLine="420"/>
        <w:rPr>
          <w:rFonts w:hAnsi="宋体" w:cs="宋体"/>
        </w:rPr>
      </w:pPr>
      <w:r>
        <w:rPr>
          <w:rFonts w:hint="eastAsia" w:hAnsi="宋体" w:cs="宋体"/>
        </w:rPr>
        <w:t>式中：</w:t>
      </w:r>
    </w:p>
    <w:p>
      <w:pPr>
        <w:pStyle w:val="59"/>
        <w:ind w:firstLine="420"/>
        <w:rPr>
          <w:rFonts w:hAnsi="宋体" w:cs="宋体"/>
        </w:rPr>
      </w:pPr>
      <w:r>
        <w:rPr>
          <w:rFonts w:hint="eastAsia" w:hAnsi="宋体" w:cs="宋体"/>
          <w:i/>
        </w:rPr>
        <w:t>P</w:t>
      </w:r>
      <w:r>
        <w:rPr>
          <w:rFonts w:hint="eastAsia" w:hAnsi="宋体" w:cs="宋体"/>
        </w:rPr>
        <w:t>——密度下降率，%；</w:t>
      </w:r>
    </w:p>
    <w:p>
      <w:pPr>
        <w:pStyle w:val="59"/>
        <w:ind w:firstLine="420"/>
        <w:rPr>
          <w:rFonts w:hAnsi="宋体" w:cs="宋体"/>
        </w:rPr>
      </w:pPr>
      <w:r>
        <w:rPr>
          <w:rFonts w:hint="eastAsia" w:hAnsi="宋体" w:cs="宋体"/>
          <w:i/>
          <w:iCs/>
        </w:rPr>
        <w:t>D</w:t>
      </w:r>
      <w:r>
        <w:rPr>
          <w:rFonts w:hint="eastAsia" w:hAnsi="宋体" w:cs="宋体"/>
          <w:vertAlign w:val="subscript"/>
        </w:rPr>
        <w:t>b</w:t>
      </w:r>
      <w:r>
        <w:rPr>
          <w:rFonts w:hint="eastAsia" w:hAnsi="宋体" w:cs="宋体"/>
        </w:rPr>
        <w:t>——防制前密度；</w:t>
      </w:r>
    </w:p>
    <w:p>
      <w:pPr>
        <w:pStyle w:val="59"/>
        <w:ind w:firstLine="420"/>
        <w:rPr>
          <w:rFonts w:hAnsi="宋体" w:cs="宋体"/>
        </w:rPr>
      </w:pPr>
      <w:r>
        <w:rPr>
          <w:rFonts w:hint="eastAsia" w:hAnsi="宋体" w:cs="宋体"/>
          <w:i/>
          <w:iCs/>
        </w:rPr>
        <w:t>D</w:t>
      </w:r>
      <w:r>
        <w:rPr>
          <w:rFonts w:hint="eastAsia" w:hAnsi="宋体" w:cs="宋体"/>
          <w:vertAlign w:val="subscript"/>
        </w:rPr>
        <w:t>a</w:t>
      </w:r>
      <w:r>
        <w:rPr>
          <w:rFonts w:hint="eastAsia" w:hAnsi="宋体" w:cs="宋体"/>
        </w:rPr>
        <w:t>——防制后密度。</w:t>
      </w:r>
    </w:p>
    <w:p>
      <w:pPr>
        <w:pStyle w:val="107"/>
        <w:numPr>
          <w:ilvl w:val="0"/>
          <w:numId w:val="0"/>
        </w:numPr>
        <w:spacing w:before="156" w:after="156"/>
      </w:pPr>
      <w:r>
        <w:rPr>
          <w:rFonts w:hint="eastAsia"/>
        </w:rPr>
        <w:t>7.2  密度控制要求</w:t>
      </w:r>
    </w:p>
    <w:p>
      <w:pPr>
        <w:pStyle w:val="238"/>
        <w:numPr>
          <w:ilvl w:val="0"/>
          <w:numId w:val="0"/>
        </w:numPr>
      </w:pPr>
      <w:r>
        <w:rPr>
          <w:rFonts w:hint="eastAsia" w:ascii="黑体" w:hAnsi="黑体" w:eastAsia="黑体"/>
        </w:rPr>
        <w:t xml:space="preserve">7.2.1  </w:t>
      </w:r>
      <w:r>
        <w:rPr>
          <w:rFonts w:hint="eastAsia"/>
        </w:rPr>
        <w:t>学校厨房、餐厅、食品库房防鼠设施需全部合格。</w:t>
      </w:r>
    </w:p>
    <w:p>
      <w:pPr>
        <w:pStyle w:val="238"/>
        <w:numPr>
          <w:ilvl w:val="0"/>
          <w:numId w:val="0"/>
        </w:numPr>
      </w:pPr>
      <w:r>
        <w:rPr>
          <w:rFonts w:hint="eastAsia" w:ascii="黑体" w:hAnsi="黑体" w:eastAsia="黑体"/>
        </w:rPr>
        <w:t>7.2.2</w:t>
      </w:r>
      <w:r>
        <w:rPr>
          <w:rFonts w:hint="eastAsia"/>
        </w:rPr>
        <w:t xml:space="preserve">  房间数 60 间以下的学校食堂鼠迹阳性房间数为0，60 间以上的学校食堂鼠迹阳性房间数不超过1间。</w:t>
      </w:r>
    </w:p>
    <w:p>
      <w:pPr>
        <w:pStyle w:val="238"/>
        <w:numPr>
          <w:ilvl w:val="0"/>
          <w:numId w:val="0"/>
        </w:numPr>
      </w:pPr>
      <w:r>
        <w:rPr>
          <w:rFonts w:hint="eastAsia" w:ascii="黑体" w:hAnsi="黑体" w:eastAsia="黑体"/>
        </w:rPr>
        <w:t xml:space="preserve">7.2.3 </w:t>
      </w:r>
      <w:r>
        <w:rPr>
          <w:rFonts w:hint="eastAsia"/>
        </w:rPr>
        <w:t xml:space="preserve"> 食堂周边外环境不应有鼠洞、死鼠、活鼠等鼠迹。</w:t>
      </w:r>
    </w:p>
    <w:p>
      <w:pPr>
        <w:pStyle w:val="238"/>
        <w:numPr>
          <w:ilvl w:val="0"/>
          <w:numId w:val="0"/>
        </w:numPr>
        <w:tabs>
          <w:tab w:val="clear" w:pos="840"/>
        </w:tabs>
        <w:ind w:left="420"/>
      </w:pPr>
    </w:p>
    <w:p>
      <w:pPr>
        <w:pStyle w:val="167"/>
        <w:numPr>
          <w:ilvl w:val="0"/>
          <w:numId w:val="0"/>
        </w:numPr>
      </w:pPr>
    </w:p>
    <w:p>
      <w:pPr>
        <w:pStyle w:val="167"/>
        <w:numPr>
          <w:ilvl w:val="0"/>
          <w:numId w:val="0"/>
        </w:numPr>
      </w:pPr>
    </w:p>
    <w:p>
      <w:pPr>
        <w:pStyle w:val="167"/>
        <w:numPr>
          <w:ilvl w:val="0"/>
          <w:numId w:val="0"/>
        </w:num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720" w:num="1"/>
          <w:formProt w:val="0"/>
          <w:docGrid w:type="lines" w:linePitch="312" w:charSpace="0"/>
        </w:sectPr>
      </w:pPr>
    </w:p>
    <w:bookmarkEnd w:id="15"/>
    <w:p>
      <w:pPr>
        <w:pStyle w:val="199"/>
        <w:rPr>
          <w:vanish w:val="0"/>
        </w:rPr>
      </w:pPr>
      <w:bookmarkStart w:id="19" w:name="BookMark5"/>
    </w:p>
    <w:p>
      <w:pPr>
        <w:pStyle w:val="200"/>
        <w:rPr>
          <w:vanish w:val="0"/>
        </w:rPr>
      </w:pPr>
    </w:p>
    <w:p>
      <w:pPr>
        <w:pStyle w:val="80"/>
        <w:spacing w:after="156"/>
      </w:pPr>
      <w:r>
        <w:br w:type="textWrapping"/>
      </w:r>
      <w:r>
        <w:rPr>
          <w:rFonts w:hint="eastAsia"/>
        </w:rPr>
        <w:t>（规范性）</w:t>
      </w:r>
      <w:r>
        <w:br w:type="textWrapping"/>
      </w:r>
      <w:r>
        <w:rPr>
          <w:rFonts w:hint="eastAsia"/>
        </w:rPr>
        <w:t>鼠迹法监测方法</w:t>
      </w:r>
    </w:p>
    <w:p>
      <w:pPr>
        <w:pStyle w:val="107"/>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Ansi="黑体" w:cs="黑体"/>
        </w:rPr>
      </w:pPr>
      <w:r>
        <w:rPr>
          <w:rFonts w:hint="eastAsia" w:hAnsi="黑体" w:cs="黑体"/>
        </w:rPr>
        <w:t>A.1</w:t>
      </w:r>
      <w:r>
        <w:rPr>
          <w:rFonts w:hint="eastAsia" w:hAnsi="黑体" w:cs="黑体"/>
          <w:lang w:val="en-US" w:eastAsia="zh-CN"/>
        </w:rPr>
        <w:t xml:space="preserve">  </w:t>
      </w:r>
      <w:r>
        <w:rPr>
          <w:rFonts w:hint="eastAsia" w:hAnsi="黑体" w:cs="黑体"/>
        </w:rPr>
        <w:t>器具</w:t>
      </w:r>
    </w:p>
    <w:p>
      <w:pPr>
        <w:pStyle w:val="167"/>
        <w:numPr>
          <w:ilvl w:val="0"/>
          <w:numId w:val="0"/>
        </w:numPr>
        <w:ind w:firstLine="420" w:firstLineChars="200"/>
        <w:rPr>
          <w:rFonts w:hAnsi="宋体" w:cs="宋体"/>
        </w:rPr>
      </w:pPr>
      <w:r>
        <w:rPr>
          <w:rFonts w:hint="eastAsia" w:hAnsi="宋体" w:cs="宋体"/>
        </w:rPr>
        <w:t>手电筒，镊子，计步器。</w:t>
      </w:r>
    </w:p>
    <w:p>
      <w:pPr>
        <w:pStyle w:val="107"/>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Ansi="黑体" w:cs="黑体"/>
        </w:rPr>
      </w:pPr>
      <w:r>
        <w:rPr>
          <w:rFonts w:hint="eastAsia" w:hAnsi="黑体" w:cs="黑体"/>
        </w:rPr>
        <w:t xml:space="preserve">A.2 </w:t>
      </w:r>
      <w:r>
        <w:rPr>
          <w:rFonts w:hint="eastAsia" w:hAnsi="黑体" w:cs="黑体"/>
          <w:lang w:val="en-US" w:eastAsia="zh-CN"/>
        </w:rPr>
        <w:t xml:space="preserve"> </w:t>
      </w:r>
      <w:r>
        <w:rPr>
          <w:rFonts w:hint="eastAsia" w:hAnsi="黑体" w:cs="黑体"/>
        </w:rPr>
        <w:t>操作步骤</w:t>
      </w:r>
    </w:p>
    <w:p>
      <w:pPr>
        <w:pStyle w:val="167"/>
        <w:numPr>
          <w:ilvl w:val="0"/>
          <w:numId w:val="0"/>
        </w:numPr>
        <w:ind w:firstLine="420" w:firstLineChars="200"/>
        <w:rPr>
          <w:rFonts w:hAnsi="宋体" w:cs="宋体"/>
        </w:rPr>
      </w:pPr>
      <w:r>
        <w:rPr>
          <w:rFonts w:hint="eastAsia" w:hAnsi="宋体" w:cs="宋体"/>
        </w:rPr>
        <w:t>室内鼠密度：检查食堂餐厅、厨房、食品库房室内鼠迹，如活鼠、鼠尸、鼠爪印、鼠粪、鼠咬痕、鼠洞、鼠道等，有 1 处鼠迹的房间就算鼠迹阳性的房间，按 15 m</w:t>
      </w:r>
      <w:r>
        <w:rPr>
          <w:rFonts w:hint="eastAsia" w:hAnsi="宋体" w:cs="宋体"/>
          <w:vertAlign w:val="superscript"/>
        </w:rPr>
        <w:t xml:space="preserve">2 </w:t>
      </w:r>
      <w:r>
        <w:rPr>
          <w:rFonts w:hint="eastAsia" w:hAnsi="宋体" w:cs="宋体"/>
        </w:rPr>
        <w:t>为一个标准间，其中，小于 15 m</w:t>
      </w:r>
      <w:r>
        <w:rPr>
          <w:rFonts w:hint="eastAsia" w:hAnsi="宋体" w:cs="宋体"/>
          <w:vertAlign w:val="superscript"/>
        </w:rPr>
        <w:t xml:space="preserve">2 </w:t>
      </w:r>
      <w:r>
        <w:rPr>
          <w:rFonts w:hint="eastAsia" w:hAnsi="宋体" w:cs="宋体"/>
        </w:rPr>
        <w:t>的独立房间视为一个标准间，大于 15 m</w:t>
      </w:r>
      <w:r>
        <w:rPr>
          <w:rFonts w:hint="eastAsia" w:hAnsi="宋体" w:cs="宋体"/>
          <w:vertAlign w:val="superscript"/>
        </w:rPr>
        <w:t xml:space="preserve">2 </w:t>
      </w:r>
      <w:r>
        <w:rPr>
          <w:rFonts w:hint="eastAsia" w:hAnsi="宋体" w:cs="宋体"/>
        </w:rPr>
        <w:t>的房间按 15 m</w:t>
      </w:r>
      <w:r>
        <w:rPr>
          <w:rFonts w:hint="eastAsia" w:hAnsi="宋体" w:cs="宋体"/>
          <w:vertAlign w:val="superscript"/>
        </w:rPr>
        <w:t xml:space="preserve">2  </w:t>
      </w:r>
      <w:r>
        <w:rPr>
          <w:rFonts w:hint="eastAsia" w:hAnsi="宋体" w:cs="宋体"/>
        </w:rPr>
        <w:t>每间折算标准间数。以鼠迹阳性率表示鼠密度。</w:t>
      </w:r>
    </w:p>
    <w:p>
      <w:pPr>
        <w:pStyle w:val="167"/>
        <w:numPr>
          <w:ilvl w:val="0"/>
          <w:numId w:val="0"/>
        </w:numPr>
        <w:ind w:firstLine="420" w:firstLineChars="200"/>
        <w:rPr>
          <w:rFonts w:hAnsi="宋体" w:cs="宋体"/>
        </w:rPr>
      </w:pPr>
      <w:r>
        <w:rPr>
          <w:rFonts w:hint="eastAsia" w:hAnsi="宋体" w:cs="宋体"/>
        </w:rPr>
        <w:t>外环境鼠密度：在食堂周边沿选择的线路如人行道或公共绿地行走,记录行走距离内发现鼠迹的处数。以路径指数表示鼠密度。</w:t>
      </w:r>
    </w:p>
    <w:p>
      <w:pPr>
        <w:pStyle w:val="107"/>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Ansi="黑体" w:cs="黑体"/>
        </w:rPr>
      </w:pPr>
      <w:r>
        <w:rPr>
          <w:rFonts w:hint="eastAsia" w:hAnsi="黑体" w:cs="黑体"/>
        </w:rPr>
        <w:t xml:space="preserve">A.3 </w:t>
      </w:r>
      <w:r>
        <w:rPr>
          <w:rFonts w:hint="eastAsia" w:hAnsi="黑体" w:cs="黑体"/>
          <w:lang w:val="en-US" w:eastAsia="zh-CN"/>
        </w:rPr>
        <w:t xml:space="preserve"> </w:t>
      </w:r>
      <w:r>
        <w:rPr>
          <w:rFonts w:hint="eastAsia" w:hAnsi="黑体" w:cs="黑体"/>
        </w:rPr>
        <w:t>密度计算</w:t>
      </w:r>
    </w:p>
    <w:p>
      <w:pPr>
        <w:pStyle w:val="107"/>
        <w:keepNext w:val="0"/>
        <w:keepLines w:val="0"/>
        <w:pageBreakBefore w:val="0"/>
        <w:widowControl/>
        <w:numPr>
          <w:ilvl w:val="0"/>
          <w:numId w:val="0"/>
        </w:numPr>
        <w:kinsoku/>
        <w:wordWrap/>
        <w:overflowPunct/>
        <w:topLinePunct w:val="0"/>
        <w:autoSpaceDE/>
        <w:autoSpaceDN/>
        <w:bidi w:val="0"/>
        <w:adjustRightInd/>
        <w:snapToGrid/>
        <w:spacing w:before="156" w:after="156"/>
        <w:textAlignment w:val="auto"/>
        <w:rPr>
          <w:rFonts w:hAnsi="黑体" w:cs="黑体"/>
        </w:rPr>
      </w:pPr>
      <w:r>
        <w:rPr>
          <w:rFonts w:hint="eastAsia" w:hAnsi="黑体" w:cs="黑体"/>
        </w:rPr>
        <w:t>A.3.1</w:t>
      </w:r>
      <w:r>
        <w:rPr>
          <w:rFonts w:hint="eastAsia" w:hAnsi="黑体" w:cs="黑体"/>
          <w:lang w:val="en-US" w:eastAsia="zh-CN"/>
        </w:rPr>
        <w:t xml:space="preserve">  </w:t>
      </w:r>
      <w:r>
        <w:rPr>
          <w:rFonts w:hint="eastAsia" w:hAnsi="黑体" w:cs="黑体"/>
        </w:rPr>
        <w:t>室内鼠密度</w:t>
      </w:r>
    </w:p>
    <w:p>
      <w:pPr>
        <w:pStyle w:val="167"/>
        <w:numPr>
          <w:ilvl w:val="0"/>
          <w:numId w:val="0"/>
        </w:numPr>
        <w:ind w:firstLine="420" w:firstLineChars="200"/>
        <w:rPr>
          <w:rFonts w:hAnsi="宋体" w:cs="宋体"/>
        </w:rPr>
      </w:pPr>
      <w:r>
        <w:rPr>
          <w:rFonts w:hint="eastAsia" w:hAnsi="宋体" w:cs="宋体"/>
        </w:rPr>
        <w:t>室内鼠密度计算见公式（A.1）。</w:t>
      </w:r>
    </w:p>
    <w:p>
      <w:pPr>
        <w:pStyle w:val="167"/>
        <w:numPr>
          <w:ilvl w:val="0"/>
          <w:numId w:val="0"/>
        </w:numPr>
        <w:ind w:firstLine="3150" w:firstLineChars="1500"/>
        <w:jc w:val="right"/>
        <w:rPr>
          <w:rFonts w:hAnsi="宋体" w:cs="宋体"/>
        </w:rPr>
      </w:pPr>
      <m:oMath>
        <m:r>
          <m:rPr/>
          <w:rPr>
            <w:rFonts w:ascii="Cambria Math" w:hAnsi="Cambria Math" w:eastAsiaTheme="minorEastAsia"/>
          </w:rPr>
          <m:t>D</m:t>
        </m:r>
        <m:r>
          <m:rPr/>
          <w:rPr>
            <w:rFonts w:hint="eastAsia" w:ascii="Cambria Math" w:hAnsi="Cambria Math" w:eastAsiaTheme="minorEastAsia"/>
          </w:rPr>
          <m:t>=</m:t>
        </m:r>
        <m:f>
          <m:fPr>
            <m:ctrlPr>
              <w:rPr>
                <w:rFonts w:ascii="Cambria Math" w:hAnsi="Cambria Math" w:eastAsiaTheme="minorEastAsia"/>
                <w:i/>
              </w:rPr>
            </m:ctrlPr>
          </m:fPr>
          <m:num>
            <m:sSub>
              <m:sSubPr>
                <m:ctrlPr>
                  <w:rPr>
                    <w:rFonts w:ascii="Cambria Math" w:hAnsi="Cambria Math" w:eastAsiaTheme="minorEastAsia"/>
                    <w:i/>
                  </w:rPr>
                </m:ctrlPr>
              </m:sSubPr>
              <m:e>
                <m:r>
                  <m:rPr/>
                  <w:rPr>
                    <w:rFonts w:hint="eastAsia"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p</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ctrlPr>
              <w:rPr>
                <w:rFonts w:ascii="Cambria Math" w:hAnsi="Cambria Math" w:eastAsiaTheme="minorEastAsia"/>
                <w:i/>
              </w:rPr>
            </m:ctrlPr>
          </m:den>
        </m:f>
        <m:r>
          <m:rPr>
            <m:sty m:val="p"/>
          </m:rPr>
          <w:rPr>
            <w:rFonts w:hint="eastAsia" w:ascii="Cambria Math" w:hAnsi="Cambria Math" w:eastAsiaTheme="minorEastAsia"/>
          </w:rPr>
          <m:t>×100%</m:t>
        </m:r>
      </m:oMath>
      <w:r>
        <w:rPr>
          <w:rFonts w:hint="eastAsia" w:ascii="微软雅黑" w:hAnsi="微软雅黑" w:eastAsia="微软雅黑"/>
        </w:rPr>
        <w:t xml:space="preserve">·································································· </w:t>
      </w:r>
      <w:r>
        <w:rPr>
          <w:rFonts w:hAnsi="宋体"/>
        </w:rPr>
        <w:t>(A.1)</w:t>
      </w:r>
    </w:p>
    <w:p>
      <w:pPr>
        <w:pStyle w:val="167"/>
        <w:numPr>
          <w:ilvl w:val="0"/>
          <w:numId w:val="0"/>
        </w:numPr>
        <w:ind w:firstLine="420" w:firstLineChars="200"/>
        <w:rPr>
          <w:rFonts w:hAnsi="宋体" w:cs="宋体"/>
        </w:rPr>
      </w:pPr>
      <w:r>
        <w:rPr>
          <w:rFonts w:hint="eastAsia" w:hAnsi="宋体" w:cs="宋体"/>
        </w:rPr>
        <w:t>式中：</w:t>
      </w:r>
    </w:p>
    <w:p>
      <w:pPr>
        <w:pStyle w:val="167"/>
        <w:numPr>
          <w:ilvl w:val="0"/>
          <w:numId w:val="0"/>
        </w:numPr>
        <w:ind w:firstLine="420" w:firstLineChars="200"/>
        <w:rPr>
          <w:rFonts w:hAnsi="宋体" w:cs="宋体"/>
        </w:rPr>
      </w:pPr>
      <w:r>
        <w:rPr>
          <w:rFonts w:hint="eastAsia" w:hAnsi="宋体" w:cs="宋体"/>
          <w:i/>
        </w:rPr>
        <w:t>D</w:t>
      </w:r>
      <w:r>
        <w:rPr>
          <w:rFonts w:hint="eastAsia" w:hAnsi="宋体" w:cs="宋体"/>
        </w:rPr>
        <w:t>——鼠迹阳性率，%；</w:t>
      </w:r>
    </w:p>
    <w:p>
      <w:pPr>
        <w:pStyle w:val="167"/>
        <w:numPr>
          <w:ilvl w:val="0"/>
          <w:numId w:val="0"/>
        </w:numPr>
        <w:ind w:firstLine="420" w:firstLineChars="200"/>
        <w:rPr>
          <w:rFonts w:hAnsi="宋体" w:cs="宋体"/>
        </w:rPr>
      </w:pPr>
      <w:r>
        <w:rPr>
          <w:rFonts w:hint="eastAsia" w:hAnsi="宋体" w:cs="宋体"/>
          <w:i/>
        </w:rPr>
        <w:t>N</w:t>
      </w:r>
      <w:r>
        <w:rPr>
          <w:rFonts w:hint="eastAsia" w:hAnsi="宋体" w:cs="宋体"/>
          <w:i/>
          <w:vertAlign w:val="subscript"/>
        </w:rPr>
        <w:t>p</w:t>
      </w:r>
      <w:r>
        <w:rPr>
          <w:rFonts w:hint="eastAsia" w:hAnsi="宋体" w:cs="宋体"/>
        </w:rPr>
        <w:t>——阳性房间数，单位为间；</w:t>
      </w:r>
    </w:p>
    <w:p>
      <w:pPr>
        <w:pStyle w:val="167"/>
        <w:numPr>
          <w:ilvl w:val="0"/>
          <w:numId w:val="0"/>
        </w:numPr>
        <w:ind w:firstLine="420" w:firstLineChars="200"/>
        <w:rPr>
          <w:rFonts w:ascii="等线" w:hAnsi="等线" w:eastAsia="等线"/>
        </w:rPr>
      </w:pPr>
      <w:r>
        <w:rPr>
          <w:rFonts w:hint="eastAsia" w:hAnsi="宋体" w:cs="宋体"/>
          <w:i/>
        </w:rPr>
        <w:t>N</w:t>
      </w:r>
      <w:r>
        <w:rPr>
          <w:rFonts w:hint="eastAsia" w:hAnsi="宋体" w:cs="宋体"/>
          <w:i/>
          <w:vertAlign w:val="subscript"/>
        </w:rPr>
        <w:t>t</w:t>
      </w:r>
      <w:r>
        <w:rPr>
          <w:rFonts w:hint="eastAsia" w:hAnsi="宋体" w:cs="宋体"/>
        </w:rPr>
        <w:t>——总房间数，单位为间。</w:t>
      </w:r>
    </w:p>
    <w:p>
      <w:pPr>
        <w:pStyle w:val="107"/>
        <w:keepNext w:val="0"/>
        <w:keepLines w:val="0"/>
        <w:pageBreakBefore w:val="0"/>
        <w:widowControl/>
        <w:numPr>
          <w:ilvl w:val="0"/>
          <w:numId w:val="0"/>
        </w:numPr>
        <w:kinsoku/>
        <w:wordWrap/>
        <w:overflowPunct/>
        <w:topLinePunct w:val="0"/>
        <w:autoSpaceDE/>
        <w:autoSpaceDN/>
        <w:bidi w:val="0"/>
        <w:adjustRightInd/>
        <w:snapToGrid/>
        <w:spacing w:before="156" w:after="156"/>
        <w:textAlignment w:val="auto"/>
        <w:rPr>
          <w:rFonts w:hAnsi="黑体" w:cs="黑体"/>
        </w:rPr>
      </w:pPr>
      <w:r>
        <w:rPr>
          <w:rFonts w:hint="eastAsia" w:hAnsi="黑体" w:cs="黑体"/>
        </w:rPr>
        <w:t>A.3.2</w:t>
      </w:r>
      <w:r>
        <w:rPr>
          <w:rFonts w:hint="eastAsia" w:hAnsi="黑体" w:cs="黑体"/>
          <w:lang w:val="en-US" w:eastAsia="zh-CN"/>
        </w:rPr>
        <w:t xml:space="preserve">  </w:t>
      </w:r>
      <w:r>
        <w:rPr>
          <w:rFonts w:hint="eastAsia" w:hAnsi="黑体" w:cs="黑体"/>
        </w:rPr>
        <w:t>外环境鼠密度</w:t>
      </w:r>
    </w:p>
    <w:p>
      <w:pPr>
        <w:pStyle w:val="167"/>
        <w:numPr>
          <w:ilvl w:val="0"/>
          <w:numId w:val="0"/>
        </w:numPr>
        <w:rPr>
          <w:rFonts w:hAnsi="宋体" w:cs="宋体"/>
        </w:rPr>
      </w:pPr>
      <w:r>
        <w:rPr>
          <w:rFonts w:hint="eastAsia" w:ascii="等线" w:hAnsi="等线" w:eastAsia="等线"/>
        </w:rPr>
        <w:t xml:space="preserve">    </w:t>
      </w:r>
      <w:r>
        <w:rPr>
          <w:rFonts w:hint="eastAsia" w:hAnsi="宋体" w:cs="宋体"/>
        </w:rPr>
        <w:t xml:space="preserve"> 外环境</w:t>
      </w:r>
      <w:r>
        <w:rPr>
          <w:rFonts w:hint="eastAsia" w:hAnsi="宋体" w:cs="宋体"/>
        </w:rPr>
        <w:t>鼠密度计算见公式（A.2）。</w:t>
      </w:r>
    </w:p>
    <w:p>
      <w:pPr>
        <w:pStyle w:val="167"/>
        <w:numPr>
          <w:ilvl w:val="0"/>
          <w:numId w:val="0"/>
        </w:numPr>
        <w:jc w:val="right"/>
        <w:rPr>
          <w:rFonts w:hAnsi="宋体" w:cs="宋体"/>
        </w:rPr>
      </w:pPr>
      <m:oMath>
        <m:r>
          <m:rPr/>
          <w:rPr>
            <w:rFonts w:ascii="Cambria Math" w:hAnsi="Cambria Math" w:eastAsiaTheme="minorEastAsia"/>
          </w:rPr>
          <m:t>D</m:t>
        </m:r>
        <m:r>
          <m:rPr/>
          <w:rPr>
            <w:rFonts w:hint="eastAsia" w:ascii="Cambria Math" w:hAnsi="Cambria Math" w:eastAsiaTheme="minorEastAsia"/>
          </w:rPr>
          <m:t>=</m:t>
        </m:r>
        <m:f>
          <m:fPr>
            <m:ctrlPr>
              <w:rPr>
                <w:rFonts w:ascii="Cambria Math" w:hAnsi="Cambria Math" w:eastAsiaTheme="minorEastAsia"/>
                <w:i/>
              </w:rPr>
            </m:ctrlPr>
          </m:fPr>
          <m:num>
            <m:sSub>
              <m:sSubPr>
                <m:ctrlPr>
                  <w:rPr>
                    <w:rFonts w:ascii="Cambria Math" w:hAnsi="Cambria Math" w:eastAsiaTheme="minorEastAsia"/>
                    <w:i/>
                  </w:rPr>
                </m:ctrlPr>
              </m:sSubPr>
              <m:e>
                <m:r>
                  <m:rPr/>
                  <w:rPr>
                    <w:rFonts w:hint="eastAsia"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p</m:t>
                </m:r>
                <m:ctrlPr>
                  <w:rPr>
                    <w:rFonts w:ascii="Cambria Math" w:hAnsi="Cambria Math" w:eastAsiaTheme="minorEastAsia"/>
                    <w:i/>
                  </w:rPr>
                </m:ctrlPr>
              </m:sub>
            </m:sSub>
            <m:ctrlPr>
              <w:rPr>
                <w:rFonts w:ascii="Cambria Math" w:hAnsi="Cambria Math" w:eastAsiaTheme="minorEastAsia"/>
                <w:i/>
              </w:rPr>
            </m:ctrlPr>
          </m:num>
          <m:den>
            <m:r>
              <m:rPr/>
              <w:rPr>
                <w:rFonts w:ascii="Cambria Math" w:hAnsi="Cambria Math"/>
              </w:rPr>
              <m:t>L</m:t>
            </m:r>
            <m:ctrlPr>
              <w:rPr>
                <w:rFonts w:ascii="Cambria Math" w:hAnsi="Cambria Math" w:eastAsiaTheme="minorEastAsia"/>
                <w:i/>
              </w:rPr>
            </m:ctrlPr>
          </m:den>
        </m:f>
        <m:r>
          <m:rPr>
            <m:sty m:val="p"/>
          </m:rPr>
          <w:rPr>
            <w:rFonts w:hint="eastAsia" w:ascii="Cambria Math" w:hAnsi="Cambria Math" w:eastAsiaTheme="minorEastAsia"/>
          </w:rPr>
          <m:t>×100%</m:t>
        </m:r>
      </m:oMath>
      <w:r>
        <w:rPr>
          <w:rFonts w:hint="eastAsia" w:ascii="微软雅黑" w:hAnsi="微软雅黑" w:eastAsia="微软雅黑"/>
        </w:rPr>
        <w:t>································································</w:t>
      </w:r>
      <w:r>
        <w:rPr>
          <w:rFonts w:hint="eastAsia" w:hAnsi="宋体" w:cs="宋体"/>
        </w:rPr>
        <w:t>（A.2）</w:t>
      </w:r>
    </w:p>
    <w:p>
      <w:pPr>
        <w:pStyle w:val="167"/>
        <w:numPr>
          <w:ilvl w:val="0"/>
          <w:numId w:val="0"/>
        </w:numPr>
        <w:ind w:firstLine="420" w:firstLineChars="200"/>
        <w:rPr>
          <w:rFonts w:hAnsi="宋体" w:cs="宋体"/>
        </w:rPr>
      </w:pPr>
      <w:r>
        <w:rPr>
          <w:rFonts w:hint="eastAsia" w:hAnsi="宋体" w:cs="宋体"/>
        </w:rPr>
        <w:t>式中：</w:t>
      </w:r>
    </w:p>
    <w:p>
      <w:pPr>
        <w:pStyle w:val="167"/>
        <w:numPr>
          <w:ilvl w:val="0"/>
          <w:numId w:val="0"/>
        </w:numPr>
        <w:ind w:firstLine="420" w:firstLineChars="200"/>
        <w:rPr>
          <w:rFonts w:hAnsi="宋体" w:cs="宋体"/>
        </w:rPr>
      </w:pPr>
      <w:r>
        <w:rPr>
          <w:rFonts w:hint="eastAsia" w:hAnsi="宋体" w:cs="宋体"/>
          <w:i/>
        </w:rPr>
        <w:t>D</w:t>
      </w:r>
      <w:r>
        <w:rPr>
          <w:rFonts w:hint="eastAsia" w:hAnsi="宋体" w:cs="宋体"/>
        </w:rPr>
        <w:t>——路径指数，单位为处每千米（处/km）</w:t>
      </w:r>
    </w:p>
    <w:p>
      <w:pPr>
        <w:pStyle w:val="167"/>
        <w:numPr>
          <w:ilvl w:val="0"/>
          <w:numId w:val="0"/>
        </w:numPr>
        <w:ind w:firstLine="420" w:firstLineChars="200"/>
        <w:rPr>
          <w:rFonts w:hAnsi="宋体" w:cs="宋体"/>
        </w:rPr>
      </w:pPr>
      <w:r>
        <w:rPr>
          <w:rFonts w:hint="eastAsia" w:hAnsi="宋体" w:cs="宋体"/>
          <w:i/>
        </w:rPr>
        <w:t>N</w:t>
      </w:r>
      <w:r>
        <w:rPr>
          <w:rFonts w:hint="eastAsia" w:hAnsi="宋体" w:cs="宋体"/>
          <w:i/>
          <w:vertAlign w:val="subscript"/>
        </w:rPr>
        <w:t>p</w:t>
      </w:r>
      <w:r>
        <w:rPr>
          <w:rFonts w:hint="eastAsia" w:hAnsi="宋体" w:cs="宋体"/>
        </w:rPr>
        <w:t>——鼠迹数，单位为处；</w:t>
      </w:r>
    </w:p>
    <w:p>
      <w:pPr>
        <w:pStyle w:val="167"/>
        <w:numPr>
          <w:ilvl w:val="0"/>
          <w:numId w:val="0"/>
        </w:numPr>
        <w:ind w:firstLine="420" w:firstLineChars="200"/>
        <w:rPr>
          <w:rFonts w:hAnsi="宋体" w:cs="宋体"/>
        </w:rPr>
      </w:pPr>
      <w:r>
        <w:rPr>
          <w:rFonts w:hint="eastAsia" w:hAnsi="宋体" w:cs="宋体"/>
          <w:i/>
        </w:rPr>
        <w:t>L</w:t>
      </w:r>
      <w:r>
        <w:rPr>
          <w:rFonts w:hint="eastAsia" w:hAnsi="宋体" w:cs="宋体"/>
        </w:rPr>
        <w:t>——检查距离，单位为千米（km）。</w:t>
      </w:r>
    </w:p>
    <w:p>
      <w:pPr>
        <w:pStyle w:val="167"/>
        <w:numPr>
          <w:ilvl w:val="0"/>
          <w:numId w:val="0"/>
        </w:numPr>
        <w:rPr>
          <w:rFonts w:hAnsi="宋体" w:cs="宋体"/>
        </w:rPr>
      </w:pPr>
    </w:p>
    <w:p>
      <w:pPr>
        <w:pStyle w:val="167"/>
        <w:numPr>
          <w:ilvl w:val="0"/>
          <w:numId w:val="0"/>
        </w:numPr>
        <w:rPr>
          <w:rFonts w:ascii="等线" w:hAnsi="等线" w:eastAsia="等线"/>
        </w:rPr>
        <w:sectPr>
          <w:headerReference r:id="rId19" w:type="default"/>
          <w:footerReference r:id="rId21" w:type="default"/>
          <w:headerReference r:id="rId20" w:type="even"/>
          <w:footerReference r:id="rId22" w:type="even"/>
          <w:pgSz w:w="11906" w:h="16838"/>
          <w:pgMar w:top="1928" w:right="1134" w:bottom="1134" w:left="1134" w:header="1418" w:footer="1134" w:gutter="284"/>
          <w:cols w:space="720" w:num="1"/>
          <w:formProt w:val="0"/>
          <w:docGrid w:type="lines" w:linePitch="312" w:charSpace="0"/>
        </w:sectPr>
      </w:pPr>
    </w:p>
    <w:p>
      <w:pPr>
        <w:pStyle w:val="80"/>
        <w:spacing w:after="156"/>
        <w:rPr>
          <w:rFonts w:hAnsi="宋体" w:cs="宋体"/>
        </w:rPr>
      </w:pPr>
      <w:r>
        <w:br w:type="textWrapping"/>
      </w:r>
      <w:r>
        <w:rPr>
          <w:rFonts w:hint="eastAsia"/>
        </w:rPr>
        <w:t>（资料性）</w:t>
      </w:r>
      <w:r>
        <w:br w:type="textWrapping"/>
      </w:r>
      <w:r>
        <w:rPr>
          <w:rFonts w:hint="eastAsia"/>
        </w:rPr>
        <w:t>学校食堂鼠类侵害状况调查表</w:t>
      </w:r>
    </w:p>
    <w:p>
      <w:pPr>
        <w:pStyle w:val="167"/>
        <w:numPr>
          <w:ilvl w:val="0"/>
          <w:numId w:val="0"/>
        </w:numPr>
        <w:ind w:firstLine="420" w:firstLineChars="200"/>
        <w:rPr>
          <w:rFonts w:ascii="等线" w:hAnsi="等线" w:eastAsia="等线"/>
        </w:rPr>
      </w:pPr>
      <w:r>
        <w:rPr>
          <w:rFonts w:hint="eastAsia" w:hAnsi="宋体" w:cs="宋体"/>
        </w:rPr>
        <w:t>表</w:t>
      </w:r>
      <w:r>
        <w:rPr>
          <w:rFonts w:hint="eastAsia" w:hAnsi="宋体" w:cs="宋体"/>
          <w:lang w:val="en-US" w:eastAsia="zh-CN"/>
        </w:rPr>
        <w:t xml:space="preserve"> </w:t>
      </w:r>
      <w:r>
        <w:rPr>
          <w:rFonts w:hint="eastAsia" w:hAnsi="宋体" w:cs="宋体"/>
        </w:rPr>
        <w:t>B.1</w:t>
      </w:r>
      <w:r>
        <w:rPr>
          <w:rFonts w:hint="eastAsia" w:hAnsi="宋体" w:cs="宋体"/>
          <w:lang w:val="en-US" w:eastAsia="zh-CN"/>
        </w:rPr>
        <w:t xml:space="preserve"> </w:t>
      </w:r>
      <w:r>
        <w:rPr>
          <w:rFonts w:hint="eastAsia" w:hAnsi="宋体" w:cs="宋体"/>
        </w:rPr>
        <w:t>给出了学校食堂防鼠设施检查表，表</w:t>
      </w:r>
      <w:r>
        <w:rPr>
          <w:rFonts w:hint="eastAsia" w:hAnsi="宋体" w:cs="宋体"/>
          <w:lang w:val="en-US" w:eastAsia="zh-CN"/>
        </w:rPr>
        <w:t xml:space="preserve"> </w:t>
      </w:r>
      <w:r>
        <w:rPr>
          <w:rFonts w:hint="eastAsia" w:hAnsi="宋体" w:cs="宋体"/>
        </w:rPr>
        <w:t>B.2</w:t>
      </w:r>
      <w:r>
        <w:rPr>
          <w:rFonts w:hint="eastAsia" w:hAnsi="宋体" w:cs="宋体"/>
          <w:lang w:val="en-US" w:eastAsia="zh-CN"/>
        </w:rPr>
        <w:t xml:space="preserve"> </w:t>
      </w:r>
      <w:r>
        <w:rPr>
          <w:rFonts w:hint="eastAsia" w:hAnsi="宋体" w:cs="宋体"/>
        </w:rPr>
        <w:t>给出了学校食堂鼠类密度调查表(鼠迹法)。</w:t>
      </w:r>
    </w:p>
    <w:p>
      <w:pPr>
        <w:pStyle w:val="167"/>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jc w:val="center"/>
        <w:textAlignment w:val="auto"/>
        <w:rPr>
          <w:rFonts w:ascii="黑体" w:hAnsi="黑体" w:eastAsia="黑体" w:cs="黑体"/>
        </w:rPr>
      </w:pPr>
      <w:r>
        <w:rPr>
          <w:rFonts w:hint="eastAsia" w:ascii="黑体" w:hAnsi="黑体" w:eastAsia="黑体" w:cs="黑体"/>
        </w:rPr>
        <w:t>表</w:t>
      </w:r>
      <w:r>
        <w:rPr>
          <w:rFonts w:hint="eastAsia" w:ascii="黑体" w:hAnsi="黑体" w:eastAsia="黑体" w:cs="黑体"/>
          <w:lang w:val="en-US" w:eastAsia="zh-CN"/>
        </w:rPr>
        <w:t xml:space="preserve"> </w:t>
      </w:r>
      <w:r>
        <w:rPr>
          <w:rFonts w:hint="eastAsia" w:ascii="黑体" w:hAnsi="黑体" w:eastAsia="黑体" w:cs="黑体"/>
        </w:rPr>
        <w:t>B.1  学校食堂防鼠设施检查表</w:t>
      </w:r>
    </w:p>
    <w:p>
      <w:pPr>
        <w:pStyle w:val="167"/>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学校名称：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年    月    日</w:t>
      </w:r>
    </w:p>
    <w:tbl>
      <w:tblPr>
        <w:tblStyle w:val="28"/>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2456"/>
        <w:gridCol w:w="2458"/>
        <w:gridCol w:w="23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23" w:type="pct"/>
            <w:tcBorders>
              <w:bottom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调查场所</w:t>
            </w:r>
          </w:p>
        </w:tc>
        <w:tc>
          <w:tcPr>
            <w:tcW w:w="1283" w:type="pct"/>
            <w:tcBorders>
              <w:bottom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检查间数</w:t>
            </w:r>
          </w:p>
        </w:tc>
        <w:tc>
          <w:tcPr>
            <w:tcW w:w="1284" w:type="pct"/>
            <w:tcBorders>
              <w:bottom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合格间数</w:t>
            </w:r>
          </w:p>
        </w:tc>
        <w:tc>
          <w:tcPr>
            <w:tcW w:w="1208" w:type="pct"/>
            <w:tcBorders>
              <w:bottom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防鼠设施合格率（%）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23" w:type="pct"/>
            <w:tcBorders>
              <w:top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p>
        </w:tc>
        <w:tc>
          <w:tcPr>
            <w:tcW w:w="1283" w:type="pct"/>
            <w:tcBorders>
              <w:top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p>
        </w:tc>
        <w:tc>
          <w:tcPr>
            <w:tcW w:w="1284" w:type="pct"/>
            <w:tcBorders>
              <w:top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p>
        </w:tc>
        <w:tc>
          <w:tcPr>
            <w:tcW w:w="1208" w:type="pct"/>
            <w:tcBorders>
              <w:top w:val="single" w:color="auto" w:sz="12" w:space="0"/>
            </w:tcBorders>
            <w:vAlign w:val="center"/>
          </w:tcPr>
          <w:p>
            <w:pPr>
              <w:pStyle w:val="167"/>
              <w:numPr>
                <w:ilvl w:val="0"/>
                <w:numId w:val="0"/>
              </w:numPr>
              <w:jc w:val="center"/>
              <w:rPr>
                <w:rFonts w:asciiTheme="minorEastAsia" w:hAnsiTheme="minorEastAsia" w:eastAsiaTheme="minorEastAsia" w:cs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23"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83"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84"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08" w:type="pct"/>
            <w:vAlign w:val="center"/>
          </w:tcPr>
          <w:p>
            <w:pPr>
              <w:pStyle w:val="167"/>
              <w:numPr>
                <w:ilvl w:val="0"/>
                <w:numId w:val="0"/>
              </w:numPr>
              <w:jc w:val="center"/>
              <w:rPr>
                <w:rFonts w:asciiTheme="minorEastAsia" w:hAnsiTheme="minorEastAsia" w:eastAsiaTheme="minorEastAsia" w:cs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23"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83"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84"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08" w:type="pct"/>
            <w:vAlign w:val="center"/>
          </w:tcPr>
          <w:p>
            <w:pPr>
              <w:pStyle w:val="167"/>
              <w:numPr>
                <w:ilvl w:val="0"/>
                <w:numId w:val="0"/>
              </w:numPr>
              <w:jc w:val="center"/>
              <w:rPr>
                <w:rFonts w:asciiTheme="minorEastAsia" w:hAnsiTheme="minorEastAsia" w:eastAsiaTheme="minorEastAsia" w:cs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23" w:type="pct"/>
            <w:vAlign w:val="center"/>
          </w:tcPr>
          <w:p>
            <w:pPr>
              <w:pStyle w:val="167"/>
              <w:numPr>
                <w:ilvl w:val="0"/>
                <w:numId w:val="0"/>
              </w:numPr>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283"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84" w:type="pct"/>
            <w:vAlign w:val="center"/>
          </w:tcPr>
          <w:p>
            <w:pPr>
              <w:pStyle w:val="167"/>
              <w:numPr>
                <w:ilvl w:val="0"/>
                <w:numId w:val="0"/>
              </w:numPr>
              <w:jc w:val="center"/>
              <w:rPr>
                <w:rFonts w:asciiTheme="minorEastAsia" w:hAnsiTheme="minorEastAsia" w:eastAsiaTheme="minorEastAsia" w:cstheme="minorEastAsia"/>
                <w:sz w:val="18"/>
                <w:szCs w:val="18"/>
              </w:rPr>
            </w:pPr>
          </w:p>
        </w:tc>
        <w:tc>
          <w:tcPr>
            <w:tcW w:w="1208" w:type="pct"/>
            <w:vAlign w:val="center"/>
          </w:tcPr>
          <w:p>
            <w:pPr>
              <w:pStyle w:val="167"/>
              <w:numPr>
                <w:ilvl w:val="0"/>
                <w:numId w:val="0"/>
              </w:numPr>
              <w:jc w:val="center"/>
              <w:rPr>
                <w:rFonts w:asciiTheme="minorEastAsia" w:hAnsiTheme="minorEastAsia" w:eastAsiaTheme="minorEastAsia" w:cstheme="minorEastAsia"/>
                <w:sz w:val="18"/>
                <w:szCs w:val="18"/>
              </w:rPr>
            </w:pPr>
          </w:p>
        </w:tc>
      </w:tr>
    </w:tbl>
    <w:p>
      <w:pPr>
        <w:pStyle w:val="167"/>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jc w:val="center"/>
        <w:textAlignment w:val="auto"/>
        <w:rPr>
          <w:rFonts w:hint="eastAsia" w:ascii="黑体" w:hAnsi="黑体" w:eastAsia="黑体" w:cs="黑体"/>
        </w:rPr>
      </w:pPr>
    </w:p>
    <w:p>
      <w:pPr>
        <w:pStyle w:val="167"/>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jc w:val="center"/>
        <w:textAlignment w:val="auto"/>
        <w:rPr>
          <w:rFonts w:ascii="黑体" w:hAnsi="黑体" w:eastAsia="黑体" w:cs="黑体"/>
        </w:rPr>
      </w:pPr>
      <w:r>
        <w:rPr>
          <w:rFonts w:hint="eastAsia" w:ascii="黑体" w:hAnsi="黑体" w:eastAsia="黑体" w:cs="黑体"/>
        </w:rPr>
        <w:t>表</w:t>
      </w:r>
      <w:r>
        <w:rPr>
          <w:rFonts w:hint="eastAsia" w:ascii="黑体" w:hAnsi="黑体" w:eastAsia="黑体" w:cs="黑体"/>
          <w:lang w:val="en-US" w:eastAsia="zh-CN"/>
        </w:rPr>
        <w:t xml:space="preserve"> </w:t>
      </w:r>
      <w:r>
        <w:rPr>
          <w:rFonts w:hint="eastAsia" w:ascii="黑体" w:hAnsi="黑体" w:eastAsia="黑体" w:cs="黑体"/>
        </w:rPr>
        <w:t>B.2  学校食堂鼠类密度调查表(鼠迹法)</w:t>
      </w:r>
    </w:p>
    <w:p>
      <w:pPr>
        <w:pStyle w:val="167"/>
        <w:numPr>
          <w:ilvl w:val="0"/>
          <w:numId w:val="0"/>
        </w:numPr>
        <w:jc w:val="left"/>
        <w:rPr>
          <w:rFonts w:ascii="黑体" w:hAnsi="黑体" w:eastAsia="黑体" w:cs="黑体"/>
          <w:sz w:val="21"/>
          <w:szCs w:val="21"/>
        </w:rPr>
      </w:pPr>
      <w:r>
        <w:rPr>
          <w:rFonts w:hint="eastAsia" w:asciiTheme="minorEastAsia" w:hAnsiTheme="minorEastAsia" w:eastAsiaTheme="minorEastAsia" w:cstheme="minorEastAsia"/>
          <w:sz w:val="21"/>
          <w:szCs w:val="21"/>
        </w:rPr>
        <w:t xml:space="preserve">学校名称：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年    月    日</w:t>
      </w:r>
    </w:p>
    <w:tbl>
      <w:tblPr>
        <w:tblStyle w:val="28"/>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993"/>
        <w:gridCol w:w="1037"/>
        <w:gridCol w:w="1220"/>
        <w:gridCol w:w="1081"/>
        <w:gridCol w:w="1461"/>
        <w:gridCol w:w="1142"/>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pct"/>
            <w:vMerge w:val="restart"/>
            <w:tcBorders>
              <w:top w:val="single" w:color="auto" w:sz="12" w:space="0"/>
              <w:left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调查场所</w:t>
            </w:r>
          </w:p>
        </w:tc>
        <w:tc>
          <w:tcPr>
            <w:tcW w:w="2264" w:type="pct"/>
            <w:gridSpan w:val="4"/>
            <w:tcBorders>
              <w:top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室内</w:t>
            </w:r>
          </w:p>
        </w:tc>
        <w:tc>
          <w:tcPr>
            <w:tcW w:w="2207" w:type="pct"/>
            <w:gridSpan w:val="3"/>
            <w:tcBorders>
              <w:top w:val="single" w:color="auto" w:sz="12" w:space="0"/>
              <w:right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室外</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pct"/>
            <w:vMerge w:val="continue"/>
            <w:tcBorders>
              <w:left w:val="single" w:color="auto" w:sz="12" w:space="0"/>
              <w:bottom w:val="single" w:color="auto" w:sz="12" w:space="0"/>
            </w:tcBorders>
            <w:vAlign w:val="center"/>
          </w:tcPr>
          <w:p>
            <w:pPr>
              <w:pStyle w:val="167"/>
              <w:numPr>
                <w:ilvl w:val="0"/>
                <w:numId w:val="0"/>
              </w:numPr>
              <w:jc w:val="both"/>
              <w:rPr>
                <w:rFonts w:hAnsi="宋体" w:cs="宋体"/>
                <w:sz w:val="18"/>
                <w:szCs w:val="18"/>
              </w:rPr>
            </w:pPr>
            <w:bookmarkStart w:id="22" w:name="_GoBack" w:colFirst="0" w:colLast="7"/>
            <w:bookmarkEnd w:id="22"/>
          </w:p>
        </w:tc>
        <w:tc>
          <w:tcPr>
            <w:tcW w:w="519" w:type="pct"/>
            <w:tcBorders>
              <w:bottom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检查房间数（间）</w:t>
            </w:r>
          </w:p>
        </w:tc>
        <w:tc>
          <w:tcPr>
            <w:tcW w:w="542" w:type="pct"/>
            <w:tcBorders>
              <w:bottom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折合标准间数（间）</w:t>
            </w:r>
          </w:p>
        </w:tc>
        <w:tc>
          <w:tcPr>
            <w:tcW w:w="638" w:type="pct"/>
            <w:tcBorders>
              <w:bottom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鼠迹阳性房间数（间）</w:t>
            </w:r>
          </w:p>
        </w:tc>
        <w:tc>
          <w:tcPr>
            <w:tcW w:w="564" w:type="pct"/>
            <w:tcBorders>
              <w:bottom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阳性率（%）</w:t>
            </w:r>
          </w:p>
        </w:tc>
        <w:tc>
          <w:tcPr>
            <w:tcW w:w="764" w:type="pct"/>
            <w:tcBorders>
              <w:bottom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检查距离（km）</w:t>
            </w:r>
          </w:p>
        </w:tc>
        <w:tc>
          <w:tcPr>
            <w:tcW w:w="597" w:type="pct"/>
            <w:tcBorders>
              <w:bottom w:val="single" w:color="auto" w:sz="12" w:space="0"/>
              <w:right w:val="single" w:color="auto" w:sz="4" w:space="0"/>
            </w:tcBorders>
            <w:vAlign w:val="center"/>
          </w:tcPr>
          <w:p>
            <w:pPr>
              <w:pStyle w:val="167"/>
              <w:numPr>
                <w:ilvl w:val="0"/>
                <w:numId w:val="0"/>
              </w:numPr>
              <w:jc w:val="both"/>
              <w:rPr>
                <w:rFonts w:hAnsi="宋体" w:cs="宋体"/>
                <w:sz w:val="18"/>
                <w:szCs w:val="18"/>
              </w:rPr>
            </w:pPr>
            <w:r>
              <w:rPr>
                <w:rFonts w:hint="eastAsia" w:hAnsi="宋体" w:cs="宋体"/>
                <w:sz w:val="18"/>
                <w:szCs w:val="18"/>
              </w:rPr>
              <w:t>鼠迹数（处）</w:t>
            </w:r>
          </w:p>
        </w:tc>
        <w:tc>
          <w:tcPr>
            <w:tcW w:w="846" w:type="pct"/>
            <w:tcBorders>
              <w:left w:val="single" w:color="auto" w:sz="4" w:space="0"/>
              <w:bottom w:val="single" w:color="auto" w:sz="12" w:space="0"/>
              <w:right w:val="single" w:color="auto" w:sz="12" w:space="0"/>
            </w:tcBorders>
            <w:vAlign w:val="center"/>
          </w:tcPr>
          <w:p>
            <w:pPr>
              <w:pStyle w:val="167"/>
              <w:numPr>
                <w:ilvl w:val="0"/>
                <w:numId w:val="0"/>
              </w:numPr>
              <w:jc w:val="both"/>
              <w:rPr>
                <w:rFonts w:hAnsi="宋体" w:cs="宋体"/>
                <w:sz w:val="18"/>
                <w:szCs w:val="18"/>
              </w:rPr>
            </w:pPr>
            <w:r>
              <w:rPr>
                <w:rFonts w:hint="eastAsia" w:hAnsi="宋体" w:cs="宋体"/>
                <w:sz w:val="18"/>
                <w:szCs w:val="18"/>
              </w:rPr>
              <w:t>路径指数（处/Km）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pct"/>
            <w:tcBorders>
              <w:top w:val="single" w:color="auto" w:sz="12" w:space="0"/>
              <w:left w:val="single" w:color="auto" w:sz="12" w:space="0"/>
            </w:tcBorders>
            <w:vAlign w:val="center"/>
          </w:tcPr>
          <w:p>
            <w:pPr>
              <w:pStyle w:val="167"/>
              <w:numPr>
                <w:ilvl w:val="0"/>
                <w:numId w:val="0"/>
              </w:numPr>
              <w:jc w:val="center"/>
              <w:rPr>
                <w:rFonts w:hAnsi="宋体" w:cs="宋体"/>
                <w:sz w:val="18"/>
                <w:szCs w:val="18"/>
              </w:rPr>
            </w:pPr>
          </w:p>
        </w:tc>
        <w:tc>
          <w:tcPr>
            <w:tcW w:w="519" w:type="pct"/>
            <w:tcBorders>
              <w:top w:val="single" w:color="auto" w:sz="12" w:space="0"/>
            </w:tcBorders>
            <w:vAlign w:val="center"/>
          </w:tcPr>
          <w:p>
            <w:pPr>
              <w:pStyle w:val="167"/>
              <w:numPr>
                <w:ilvl w:val="0"/>
                <w:numId w:val="0"/>
              </w:numPr>
              <w:jc w:val="center"/>
              <w:rPr>
                <w:rFonts w:hAnsi="宋体" w:cs="宋体"/>
                <w:sz w:val="18"/>
                <w:szCs w:val="18"/>
              </w:rPr>
            </w:pPr>
          </w:p>
        </w:tc>
        <w:tc>
          <w:tcPr>
            <w:tcW w:w="542" w:type="pct"/>
            <w:tcBorders>
              <w:top w:val="single" w:color="auto" w:sz="12" w:space="0"/>
            </w:tcBorders>
            <w:vAlign w:val="center"/>
          </w:tcPr>
          <w:p>
            <w:pPr>
              <w:pStyle w:val="167"/>
              <w:numPr>
                <w:ilvl w:val="0"/>
                <w:numId w:val="0"/>
              </w:numPr>
              <w:jc w:val="center"/>
              <w:rPr>
                <w:rFonts w:hAnsi="宋体" w:cs="宋体"/>
                <w:sz w:val="18"/>
                <w:szCs w:val="18"/>
              </w:rPr>
            </w:pPr>
          </w:p>
        </w:tc>
        <w:tc>
          <w:tcPr>
            <w:tcW w:w="638" w:type="pct"/>
            <w:tcBorders>
              <w:top w:val="single" w:color="auto" w:sz="12" w:space="0"/>
            </w:tcBorders>
            <w:vAlign w:val="center"/>
          </w:tcPr>
          <w:p>
            <w:pPr>
              <w:pStyle w:val="167"/>
              <w:numPr>
                <w:ilvl w:val="0"/>
                <w:numId w:val="0"/>
              </w:numPr>
              <w:jc w:val="center"/>
              <w:rPr>
                <w:rFonts w:hAnsi="宋体" w:cs="宋体"/>
                <w:sz w:val="18"/>
                <w:szCs w:val="18"/>
              </w:rPr>
            </w:pPr>
          </w:p>
        </w:tc>
        <w:tc>
          <w:tcPr>
            <w:tcW w:w="564" w:type="pct"/>
            <w:tcBorders>
              <w:top w:val="single" w:color="auto" w:sz="12" w:space="0"/>
            </w:tcBorders>
            <w:vAlign w:val="center"/>
          </w:tcPr>
          <w:p>
            <w:pPr>
              <w:pStyle w:val="167"/>
              <w:numPr>
                <w:ilvl w:val="0"/>
                <w:numId w:val="0"/>
              </w:numPr>
              <w:jc w:val="center"/>
              <w:rPr>
                <w:rFonts w:hAnsi="宋体" w:cs="宋体"/>
                <w:sz w:val="18"/>
                <w:szCs w:val="18"/>
              </w:rPr>
            </w:pPr>
          </w:p>
        </w:tc>
        <w:tc>
          <w:tcPr>
            <w:tcW w:w="764" w:type="pct"/>
            <w:tcBorders>
              <w:top w:val="single" w:color="auto" w:sz="12" w:space="0"/>
            </w:tcBorders>
            <w:vAlign w:val="center"/>
          </w:tcPr>
          <w:p>
            <w:pPr>
              <w:pStyle w:val="167"/>
              <w:numPr>
                <w:ilvl w:val="0"/>
                <w:numId w:val="0"/>
              </w:numPr>
              <w:jc w:val="center"/>
              <w:rPr>
                <w:rFonts w:hAnsi="宋体" w:cs="宋体"/>
                <w:sz w:val="18"/>
                <w:szCs w:val="18"/>
              </w:rPr>
            </w:pPr>
          </w:p>
        </w:tc>
        <w:tc>
          <w:tcPr>
            <w:tcW w:w="597" w:type="pct"/>
            <w:tcBorders>
              <w:top w:val="single" w:color="auto" w:sz="12" w:space="0"/>
              <w:right w:val="single" w:color="auto" w:sz="4" w:space="0"/>
            </w:tcBorders>
            <w:vAlign w:val="center"/>
          </w:tcPr>
          <w:p>
            <w:pPr>
              <w:pStyle w:val="167"/>
              <w:numPr>
                <w:ilvl w:val="0"/>
                <w:numId w:val="0"/>
              </w:numPr>
              <w:jc w:val="center"/>
              <w:rPr>
                <w:rFonts w:hAnsi="宋体" w:cs="宋体"/>
                <w:sz w:val="18"/>
                <w:szCs w:val="18"/>
              </w:rPr>
            </w:pPr>
          </w:p>
        </w:tc>
        <w:tc>
          <w:tcPr>
            <w:tcW w:w="846" w:type="pct"/>
            <w:tcBorders>
              <w:top w:val="single" w:color="auto" w:sz="12" w:space="0"/>
              <w:left w:val="single" w:color="auto" w:sz="4" w:space="0"/>
              <w:right w:val="single" w:color="auto" w:sz="12" w:space="0"/>
            </w:tcBorders>
            <w:vAlign w:val="center"/>
          </w:tcPr>
          <w:p>
            <w:pPr>
              <w:pStyle w:val="167"/>
              <w:numPr>
                <w:ilvl w:val="0"/>
                <w:numId w:val="0"/>
              </w:numPr>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pct"/>
            <w:tcBorders>
              <w:left w:val="single" w:color="auto" w:sz="12" w:space="0"/>
            </w:tcBorders>
            <w:vAlign w:val="center"/>
          </w:tcPr>
          <w:p>
            <w:pPr>
              <w:pStyle w:val="167"/>
              <w:numPr>
                <w:ilvl w:val="0"/>
                <w:numId w:val="0"/>
              </w:numPr>
              <w:jc w:val="center"/>
              <w:rPr>
                <w:rFonts w:hAnsi="宋体" w:cs="宋体"/>
                <w:sz w:val="18"/>
                <w:szCs w:val="18"/>
              </w:rPr>
            </w:pPr>
          </w:p>
        </w:tc>
        <w:tc>
          <w:tcPr>
            <w:tcW w:w="519" w:type="pct"/>
            <w:vAlign w:val="center"/>
          </w:tcPr>
          <w:p>
            <w:pPr>
              <w:pStyle w:val="167"/>
              <w:numPr>
                <w:ilvl w:val="0"/>
                <w:numId w:val="0"/>
              </w:numPr>
              <w:jc w:val="center"/>
              <w:rPr>
                <w:rFonts w:hAnsi="宋体" w:cs="宋体"/>
                <w:sz w:val="18"/>
                <w:szCs w:val="18"/>
              </w:rPr>
            </w:pPr>
          </w:p>
        </w:tc>
        <w:tc>
          <w:tcPr>
            <w:tcW w:w="542" w:type="pct"/>
            <w:vAlign w:val="center"/>
          </w:tcPr>
          <w:p>
            <w:pPr>
              <w:pStyle w:val="167"/>
              <w:numPr>
                <w:ilvl w:val="0"/>
                <w:numId w:val="0"/>
              </w:numPr>
              <w:jc w:val="center"/>
              <w:rPr>
                <w:rFonts w:hAnsi="宋体" w:cs="宋体"/>
                <w:sz w:val="18"/>
                <w:szCs w:val="18"/>
              </w:rPr>
            </w:pPr>
          </w:p>
        </w:tc>
        <w:tc>
          <w:tcPr>
            <w:tcW w:w="638" w:type="pct"/>
            <w:vAlign w:val="center"/>
          </w:tcPr>
          <w:p>
            <w:pPr>
              <w:pStyle w:val="167"/>
              <w:numPr>
                <w:ilvl w:val="0"/>
                <w:numId w:val="0"/>
              </w:numPr>
              <w:jc w:val="center"/>
              <w:rPr>
                <w:rFonts w:hAnsi="宋体" w:cs="宋体"/>
                <w:sz w:val="18"/>
                <w:szCs w:val="18"/>
              </w:rPr>
            </w:pPr>
          </w:p>
        </w:tc>
        <w:tc>
          <w:tcPr>
            <w:tcW w:w="564" w:type="pct"/>
            <w:vAlign w:val="center"/>
          </w:tcPr>
          <w:p>
            <w:pPr>
              <w:pStyle w:val="167"/>
              <w:numPr>
                <w:ilvl w:val="0"/>
                <w:numId w:val="0"/>
              </w:numPr>
              <w:jc w:val="center"/>
              <w:rPr>
                <w:rFonts w:hAnsi="宋体" w:cs="宋体"/>
                <w:sz w:val="18"/>
                <w:szCs w:val="18"/>
              </w:rPr>
            </w:pPr>
          </w:p>
        </w:tc>
        <w:tc>
          <w:tcPr>
            <w:tcW w:w="764" w:type="pct"/>
            <w:vAlign w:val="center"/>
          </w:tcPr>
          <w:p>
            <w:pPr>
              <w:pStyle w:val="167"/>
              <w:numPr>
                <w:ilvl w:val="0"/>
                <w:numId w:val="0"/>
              </w:numPr>
              <w:jc w:val="center"/>
              <w:rPr>
                <w:rFonts w:hAnsi="宋体" w:cs="宋体"/>
                <w:sz w:val="18"/>
                <w:szCs w:val="18"/>
              </w:rPr>
            </w:pPr>
          </w:p>
        </w:tc>
        <w:tc>
          <w:tcPr>
            <w:tcW w:w="597" w:type="pct"/>
            <w:tcBorders>
              <w:right w:val="single" w:color="auto" w:sz="4" w:space="0"/>
            </w:tcBorders>
            <w:vAlign w:val="center"/>
          </w:tcPr>
          <w:p>
            <w:pPr>
              <w:pStyle w:val="167"/>
              <w:numPr>
                <w:ilvl w:val="0"/>
                <w:numId w:val="0"/>
              </w:numPr>
              <w:jc w:val="center"/>
              <w:rPr>
                <w:rFonts w:hAnsi="宋体" w:cs="宋体"/>
                <w:sz w:val="18"/>
                <w:szCs w:val="18"/>
              </w:rPr>
            </w:pPr>
          </w:p>
        </w:tc>
        <w:tc>
          <w:tcPr>
            <w:tcW w:w="846" w:type="pct"/>
            <w:tcBorders>
              <w:left w:val="single" w:color="auto" w:sz="4" w:space="0"/>
              <w:right w:val="single" w:color="auto" w:sz="12" w:space="0"/>
            </w:tcBorders>
            <w:vAlign w:val="center"/>
          </w:tcPr>
          <w:p>
            <w:pPr>
              <w:pStyle w:val="167"/>
              <w:numPr>
                <w:ilvl w:val="0"/>
                <w:numId w:val="0"/>
              </w:numPr>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pct"/>
            <w:tcBorders>
              <w:left w:val="single" w:color="auto" w:sz="12" w:space="0"/>
            </w:tcBorders>
            <w:vAlign w:val="center"/>
          </w:tcPr>
          <w:p>
            <w:pPr>
              <w:pStyle w:val="167"/>
              <w:numPr>
                <w:ilvl w:val="0"/>
                <w:numId w:val="0"/>
              </w:numPr>
              <w:jc w:val="center"/>
              <w:rPr>
                <w:rFonts w:hAnsi="宋体" w:cs="宋体"/>
                <w:sz w:val="18"/>
                <w:szCs w:val="18"/>
              </w:rPr>
            </w:pPr>
          </w:p>
        </w:tc>
        <w:tc>
          <w:tcPr>
            <w:tcW w:w="519" w:type="pct"/>
            <w:vAlign w:val="center"/>
          </w:tcPr>
          <w:p>
            <w:pPr>
              <w:pStyle w:val="167"/>
              <w:numPr>
                <w:ilvl w:val="0"/>
                <w:numId w:val="0"/>
              </w:numPr>
              <w:jc w:val="center"/>
              <w:rPr>
                <w:rFonts w:hAnsi="宋体" w:cs="宋体"/>
                <w:sz w:val="18"/>
                <w:szCs w:val="18"/>
              </w:rPr>
            </w:pPr>
          </w:p>
        </w:tc>
        <w:tc>
          <w:tcPr>
            <w:tcW w:w="542" w:type="pct"/>
            <w:vAlign w:val="center"/>
          </w:tcPr>
          <w:p>
            <w:pPr>
              <w:pStyle w:val="167"/>
              <w:numPr>
                <w:ilvl w:val="0"/>
                <w:numId w:val="0"/>
              </w:numPr>
              <w:jc w:val="center"/>
              <w:rPr>
                <w:rFonts w:hAnsi="宋体" w:cs="宋体"/>
                <w:sz w:val="18"/>
                <w:szCs w:val="18"/>
              </w:rPr>
            </w:pPr>
          </w:p>
        </w:tc>
        <w:tc>
          <w:tcPr>
            <w:tcW w:w="638" w:type="pct"/>
            <w:vAlign w:val="center"/>
          </w:tcPr>
          <w:p>
            <w:pPr>
              <w:pStyle w:val="167"/>
              <w:numPr>
                <w:ilvl w:val="0"/>
                <w:numId w:val="0"/>
              </w:numPr>
              <w:jc w:val="center"/>
              <w:rPr>
                <w:rFonts w:hAnsi="宋体" w:cs="宋体"/>
                <w:sz w:val="18"/>
                <w:szCs w:val="18"/>
              </w:rPr>
            </w:pPr>
          </w:p>
        </w:tc>
        <w:tc>
          <w:tcPr>
            <w:tcW w:w="564" w:type="pct"/>
            <w:vAlign w:val="center"/>
          </w:tcPr>
          <w:p>
            <w:pPr>
              <w:pStyle w:val="167"/>
              <w:numPr>
                <w:ilvl w:val="0"/>
                <w:numId w:val="0"/>
              </w:numPr>
              <w:jc w:val="center"/>
              <w:rPr>
                <w:rFonts w:hAnsi="宋体" w:cs="宋体"/>
                <w:sz w:val="18"/>
                <w:szCs w:val="18"/>
              </w:rPr>
            </w:pPr>
          </w:p>
        </w:tc>
        <w:tc>
          <w:tcPr>
            <w:tcW w:w="764" w:type="pct"/>
            <w:vAlign w:val="center"/>
          </w:tcPr>
          <w:p>
            <w:pPr>
              <w:pStyle w:val="167"/>
              <w:numPr>
                <w:ilvl w:val="0"/>
                <w:numId w:val="0"/>
              </w:numPr>
              <w:jc w:val="center"/>
              <w:rPr>
                <w:rFonts w:hAnsi="宋体" w:cs="宋体"/>
                <w:sz w:val="18"/>
                <w:szCs w:val="18"/>
              </w:rPr>
            </w:pPr>
          </w:p>
        </w:tc>
        <w:tc>
          <w:tcPr>
            <w:tcW w:w="597" w:type="pct"/>
            <w:tcBorders>
              <w:right w:val="single" w:color="auto" w:sz="4" w:space="0"/>
            </w:tcBorders>
            <w:vAlign w:val="center"/>
          </w:tcPr>
          <w:p>
            <w:pPr>
              <w:pStyle w:val="167"/>
              <w:numPr>
                <w:ilvl w:val="0"/>
                <w:numId w:val="0"/>
              </w:numPr>
              <w:jc w:val="center"/>
              <w:rPr>
                <w:rFonts w:hAnsi="宋体" w:cs="宋体"/>
                <w:sz w:val="18"/>
                <w:szCs w:val="18"/>
              </w:rPr>
            </w:pPr>
          </w:p>
        </w:tc>
        <w:tc>
          <w:tcPr>
            <w:tcW w:w="846" w:type="pct"/>
            <w:tcBorders>
              <w:left w:val="single" w:color="auto" w:sz="4" w:space="0"/>
              <w:right w:val="single" w:color="auto" w:sz="12" w:space="0"/>
            </w:tcBorders>
            <w:vAlign w:val="center"/>
          </w:tcPr>
          <w:p>
            <w:pPr>
              <w:pStyle w:val="167"/>
              <w:numPr>
                <w:ilvl w:val="0"/>
                <w:numId w:val="0"/>
              </w:numPr>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pct"/>
            <w:tcBorders>
              <w:left w:val="single" w:color="auto" w:sz="12" w:space="0"/>
            </w:tcBorders>
            <w:vAlign w:val="center"/>
          </w:tcPr>
          <w:p>
            <w:pPr>
              <w:pStyle w:val="167"/>
              <w:numPr>
                <w:ilvl w:val="0"/>
                <w:numId w:val="0"/>
              </w:numPr>
              <w:jc w:val="center"/>
              <w:rPr>
                <w:rFonts w:hAnsi="宋体" w:cs="宋体"/>
                <w:sz w:val="18"/>
                <w:szCs w:val="18"/>
              </w:rPr>
            </w:pPr>
          </w:p>
        </w:tc>
        <w:tc>
          <w:tcPr>
            <w:tcW w:w="519" w:type="pct"/>
            <w:vAlign w:val="center"/>
          </w:tcPr>
          <w:p>
            <w:pPr>
              <w:pStyle w:val="167"/>
              <w:numPr>
                <w:ilvl w:val="0"/>
                <w:numId w:val="0"/>
              </w:numPr>
              <w:jc w:val="center"/>
              <w:rPr>
                <w:rFonts w:hAnsi="宋体" w:cs="宋体"/>
                <w:sz w:val="18"/>
                <w:szCs w:val="18"/>
              </w:rPr>
            </w:pPr>
          </w:p>
        </w:tc>
        <w:tc>
          <w:tcPr>
            <w:tcW w:w="542" w:type="pct"/>
            <w:vAlign w:val="center"/>
          </w:tcPr>
          <w:p>
            <w:pPr>
              <w:pStyle w:val="167"/>
              <w:numPr>
                <w:ilvl w:val="0"/>
                <w:numId w:val="0"/>
              </w:numPr>
              <w:jc w:val="center"/>
              <w:rPr>
                <w:rFonts w:hAnsi="宋体" w:cs="宋体"/>
                <w:sz w:val="18"/>
                <w:szCs w:val="18"/>
              </w:rPr>
            </w:pPr>
          </w:p>
        </w:tc>
        <w:tc>
          <w:tcPr>
            <w:tcW w:w="638" w:type="pct"/>
            <w:vAlign w:val="center"/>
          </w:tcPr>
          <w:p>
            <w:pPr>
              <w:pStyle w:val="167"/>
              <w:numPr>
                <w:ilvl w:val="0"/>
                <w:numId w:val="0"/>
              </w:numPr>
              <w:jc w:val="center"/>
              <w:rPr>
                <w:rFonts w:hAnsi="宋体" w:cs="宋体"/>
                <w:sz w:val="18"/>
                <w:szCs w:val="18"/>
              </w:rPr>
            </w:pPr>
          </w:p>
        </w:tc>
        <w:tc>
          <w:tcPr>
            <w:tcW w:w="564" w:type="pct"/>
            <w:vAlign w:val="center"/>
          </w:tcPr>
          <w:p>
            <w:pPr>
              <w:pStyle w:val="167"/>
              <w:numPr>
                <w:ilvl w:val="0"/>
                <w:numId w:val="0"/>
              </w:numPr>
              <w:jc w:val="center"/>
              <w:rPr>
                <w:rFonts w:hAnsi="宋体" w:cs="宋体"/>
                <w:sz w:val="18"/>
                <w:szCs w:val="18"/>
              </w:rPr>
            </w:pPr>
          </w:p>
        </w:tc>
        <w:tc>
          <w:tcPr>
            <w:tcW w:w="764" w:type="pct"/>
            <w:vAlign w:val="center"/>
          </w:tcPr>
          <w:p>
            <w:pPr>
              <w:pStyle w:val="167"/>
              <w:numPr>
                <w:ilvl w:val="0"/>
                <w:numId w:val="0"/>
              </w:numPr>
              <w:jc w:val="center"/>
              <w:rPr>
                <w:rFonts w:hAnsi="宋体" w:cs="宋体"/>
                <w:sz w:val="18"/>
                <w:szCs w:val="18"/>
              </w:rPr>
            </w:pPr>
          </w:p>
        </w:tc>
        <w:tc>
          <w:tcPr>
            <w:tcW w:w="597" w:type="pct"/>
            <w:tcBorders>
              <w:right w:val="single" w:color="auto" w:sz="4" w:space="0"/>
            </w:tcBorders>
            <w:vAlign w:val="center"/>
          </w:tcPr>
          <w:p>
            <w:pPr>
              <w:pStyle w:val="167"/>
              <w:numPr>
                <w:ilvl w:val="0"/>
                <w:numId w:val="0"/>
              </w:numPr>
              <w:jc w:val="center"/>
              <w:rPr>
                <w:rFonts w:hAnsi="宋体" w:cs="宋体"/>
                <w:sz w:val="18"/>
                <w:szCs w:val="18"/>
              </w:rPr>
            </w:pPr>
          </w:p>
        </w:tc>
        <w:tc>
          <w:tcPr>
            <w:tcW w:w="846" w:type="pct"/>
            <w:tcBorders>
              <w:left w:val="single" w:color="auto" w:sz="4" w:space="0"/>
              <w:right w:val="single" w:color="auto" w:sz="12" w:space="0"/>
            </w:tcBorders>
            <w:vAlign w:val="center"/>
          </w:tcPr>
          <w:p>
            <w:pPr>
              <w:pStyle w:val="167"/>
              <w:numPr>
                <w:ilvl w:val="0"/>
                <w:numId w:val="0"/>
              </w:numPr>
              <w:jc w:val="center"/>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pct"/>
            <w:tcBorders>
              <w:left w:val="single" w:color="auto" w:sz="12" w:space="0"/>
              <w:bottom w:val="single" w:color="auto" w:sz="12" w:space="0"/>
            </w:tcBorders>
            <w:vAlign w:val="center"/>
          </w:tcPr>
          <w:p>
            <w:pPr>
              <w:pStyle w:val="167"/>
              <w:numPr>
                <w:ilvl w:val="0"/>
                <w:numId w:val="0"/>
              </w:numPr>
              <w:jc w:val="center"/>
              <w:rPr>
                <w:rFonts w:hAnsi="宋体" w:cs="宋体"/>
                <w:sz w:val="18"/>
                <w:szCs w:val="18"/>
              </w:rPr>
            </w:pPr>
            <w:r>
              <w:rPr>
                <w:rFonts w:hint="eastAsia" w:hAnsi="宋体" w:cs="宋体"/>
                <w:sz w:val="18"/>
                <w:szCs w:val="18"/>
              </w:rPr>
              <w:t>合计</w:t>
            </w:r>
          </w:p>
        </w:tc>
        <w:tc>
          <w:tcPr>
            <w:tcW w:w="519" w:type="pct"/>
            <w:tcBorders>
              <w:bottom w:val="single" w:color="auto" w:sz="12" w:space="0"/>
            </w:tcBorders>
            <w:vAlign w:val="center"/>
          </w:tcPr>
          <w:p>
            <w:pPr>
              <w:pStyle w:val="167"/>
              <w:numPr>
                <w:ilvl w:val="0"/>
                <w:numId w:val="0"/>
              </w:numPr>
              <w:jc w:val="center"/>
              <w:rPr>
                <w:rFonts w:hAnsi="宋体" w:cs="宋体"/>
                <w:sz w:val="18"/>
                <w:szCs w:val="18"/>
              </w:rPr>
            </w:pPr>
          </w:p>
        </w:tc>
        <w:tc>
          <w:tcPr>
            <w:tcW w:w="542" w:type="pct"/>
            <w:tcBorders>
              <w:bottom w:val="single" w:color="auto" w:sz="12" w:space="0"/>
            </w:tcBorders>
            <w:vAlign w:val="center"/>
          </w:tcPr>
          <w:p>
            <w:pPr>
              <w:pStyle w:val="167"/>
              <w:numPr>
                <w:ilvl w:val="0"/>
                <w:numId w:val="0"/>
              </w:numPr>
              <w:jc w:val="center"/>
              <w:rPr>
                <w:rFonts w:hAnsi="宋体" w:cs="宋体"/>
                <w:sz w:val="18"/>
                <w:szCs w:val="18"/>
              </w:rPr>
            </w:pPr>
          </w:p>
        </w:tc>
        <w:tc>
          <w:tcPr>
            <w:tcW w:w="638" w:type="pct"/>
            <w:tcBorders>
              <w:bottom w:val="single" w:color="auto" w:sz="12" w:space="0"/>
            </w:tcBorders>
            <w:vAlign w:val="center"/>
          </w:tcPr>
          <w:p>
            <w:pPr>
              <w:pStyle w:val="167"/>
              <w:numPr>
                <w:ilvl w:val="0"/>
                <w:numId w:val="0"/>
              </w:numPr>
              <w:jc w:val="center"/>
              <w:rPr>
                <w:rFonts w:hAnsi="宋体" w:cs="宋体"/>
                <w:sz w:val="18"/>
                <w:szCs w:val="18"/>
              </w:rPr>
            </w:pPr>
          </w:p>
        </w:tc>
        <w:tc>
          <w:tcPr>
            <w:tcW w:w="564" w:type="pct"/>
            <w:tcBorders>
              <w:bottom w:val="single" w:color="auto" w:sz="12" w:space="0"/>
            </w:tcBorders>
            <w:vAlign w:val="center"/>
          </w:tcPr>
          <w:p>
            <w:pPr>
              <w:pStyle w:val="167"/>
              <w:numPr>
                <w:ilvl w:val="0"/>
                <w:numId w:val="0"/>
              </w:numPr>
              <w:jc w:val="center"/>
              <w:rPr>
                <w:rFonts w:hAnsi="宋体" w:cs="宋体"/>
                <w:sz w:val="18"/>
                <w:szCs w:val="18"/>
              </w:rPr>
            </w:pPr>
          </w:p>
        </w:tc>
        <w:tc>
          <w:tcPr>
            <w:tcW w:w="764" w:type="pct"/>
            <w:tcBorders>
              <w:bottom w:val="single" w:color="auto" w:sz="12" w:space="0"/>
            </w:tcBorders>
            <w:vAlign w:val="center"/>
          </w:tcPr>
          <w:p>
            <w:pPr>
              <w:pStyle w:val="167"/>
              <w:numPr>
                <w:ilvl w:val="0"/>
                <w:numId w:val="0"/>
              </w:numPr>
              <w:jc w:val="center"/>
              <w:rPr>
                <w:rFonts w:hAnsi="宋体" w:cs="宋体"/>
                <w:sz w:val="18"/>
                <w:szCs w:val="18"/>
              </w:rPr>
            </w:pPr>
          </w:p>
        </w:tc>
        <w:tc>
          <w:tcPr>
            <w:tcW w:w="597" w:type="pct"/>
            <w:tcBorders>
              <w:bottom w:val="single" w:color="auto" w:sz="12" w:space="0"/>
              <w:right w:val="single" w:color="auto" w:sz="4" w:space="0"/>
            </w:tcBorders>
            <w:vAlign w:val="center"/>
          </w:tcPr>
          <w:p>
            <w:pPr>
              <w:pStyle w:val="167"/>
              <w:numPr>
                <w:ilvl w:val="0"/>
                <w:numId w:val="0"/>
              </w:numPr>
              <w:jc w:val="center"/>
              <w:rPr>
                <w:rFonts w:hAnsi="宋体" w:cs="宋体"/>
                <w:sz w:val="18"/>
                <w:szCs w:val="18"/>
              </w:rPr>
            </w:pPr>
          </w:p>
        </w:tc>
        <w:tc>
          <w:tcPr>
            <w:tcW w:w="846" w:type="pct"/>
            <w:tcBorders>
              <w:left w:val="single" w:color="auto" w:sz="4" w:space="0"/>
              <w:bottom w:val="single" w:color="auto" w:sz="12" w:space="0"/>
              <w:right w:val="single" w:color="auto" w:sz="12" w:space="0"/>
            </w:tcBorders>
            <w:vAlign w:val="center"/>
          </w:tcPr>
          <w:p>
            <w:pPr>
              <w:pStyle w:val="167"/>
              <w:numPr>
                <w:ilvl w:val="0"/>
                <w:numId w:val="0"/>
              </w:numPr>
              <w:jc w:val="center"/>
              <w:rPr>
                <w:rFonts w:hAnsi="宋体" w:cs="宋体"/>
                <w:sz w:val="18"/>
                <w:szCs w:val="18"/>
              </w:rPr>
            </w:pPr>
          </w:p>
        </w:tc>
      </w:tr>
    </w:tbl>
    <w:p>
      <w:pPr>
        <w:pStyle w:val="167"/>
        <w:numPr>
          <w:ilvl w:val="0"/>
          <w:numId w:val="0"/>
        </w:numPr>
        <w:rPr>
          <w:rFonts w:ascii="等线" w:hAnsi="等线" w:eastAsia="等线"/>
          <w:szCs w:val="21"/>
        </w:rPr>
      </w:pPr>
    </w:p>
    <w:p>
      <w:pPr>
        <w:pStyle w:val="167"/>
        <w:numPr>
          <w:ilvl w:val="0"/>
          <w:numId w:val="0"/>
        </w:numPr>
        <w:rPr>
          <w:rFonts w:ascii="等线" w:hAnsi="等线" w:eastAsia="等线"/>
          <w:szCs w:val="21"/>
        </w:rPr>
      </w:pPr>
    </w:p>
    <w:p>
      <w:pPr>
        <w:pStyle w:val="167"/>
        <w:numPr>
          <w:ilvl w:val="0"/>
          <w:numId w:val="0"/>
        </w:numPr>
        <w:rPr>
          <w:rFonts w:ascii="等线" w:hAnsi="等线" w:eastAsia="等线"/>
          <w:szCs w:val="21"/>
        </w:rPr>
      </w:pPr>
    </w:p>
    <w:p>
      <w:pPr>
        <w:pStyle w:val="167"/>
        <w:numPr>
          <w:ilvl w:val="0"/>
          <w:numId w:val="0"/>
        </w:numPr>
        <w:rPr>
          <w:rFonts w:ascii="等线" w:hAnsi="等线" w:eastAsia="等线"/>
          <w:szCs w:val="21"/>
        </w:rPr>
      </w:pPr>
    </w:p>
    <w:p>
      <w:pPr>
        <w:pStyle w:val="167"/>
        <w:numPr>
          <w:ilvl w:val="0"/>
          <w:numId w:val="0"/>
        </w:numPr>
        <w:rPr>
          <w:rFonts w:ascii="等线" w:hAnsi="等线" w:eastAsia="等线"/>
          <w:szCs w:val="21"/>
        </w:rPr>
      </w:pPr>
    </w:p>
    <w:p>
      <w:pPr>
        <w:pStyle w:val="167"/>
        <w:numPr>
          <w:ilvl w:val="0"/>
          <w:numId w:val="0"/>
        </w:numPr>
        <w:rPr>
          <w:rFonts w:ascii="等线" w:hAnsi="等线" w:eastAsia="等线"/>
          <w:szCs w:val="21"/>
        </w:rPr>
      </w:pPr>
    </w:p>
    <w:p>
      <w:pPr>
        <w:pStyle w:val="167"/>
        <w:numPr>
          <w:ilvl w:val="0"/>
          <w:numId w:val="0"/>
        </w:numPr>
        <w:rPr>
          <w:rFonts w:ascii="等线" w:hAnsi="等线" w:eastAsia="等线"/>
          <w:szCs w:val="21"/>
        </w:rPr>
      </w:pPr>
    </w:p>
    <w:p>
      <w:pPr>
        <w:pStyle w:val="200"/>
        <w:numPr>
          <w:ilvl w:val="0"/>
          <w:numId w:val="34"/>
        </w:numPr>
        <w:spacing w:before="156" w:after="156"/>
        <w:rPr>
          <w:vanish w:val="0"/>
        </w:rPr>
      </w:pPr>
    </w:p>
    <w:bookmarkEnd w:id="19"/>
    <w:p>
      <w:pPr>
        <w:pStyle w:val="59"/>
        <w:ind w:firstLine="420"/>
        <w:jc w:val="center"/>
      </w:pPr>
      <w:bookmarkStart w:id="20" w:name="BookMark8"/>
    </w:p>
    <w:p>
      <w:pPr>
        <w:pStyle w:val="59"/>
        <w:ind w:firstLine="420"/>
        <w:jc w:val="center"/>
      </w:pPr>
    </w:p>
    <w:p>
      <w:pPr>
        <w:pStyle w:val="59"/>
        <w:ind w:firstLine="420"/>
        <w:jc w:val="center"/>
      </w:pPr>
    </w:p>
    <w:p>
      <w:pPr>
        <w:pStyle w:val="80"/>
        <w:spacing w:after="156"/>
      </w:pPr>
      <w:r>
        <w:br w:type="textWrapping"/>
      </w:r>
      <w:r>
        <w:rPr>
          <w:rFonts w:hint="eastAsia"/>
        </w:rPr>
        <w:t>（资料性）</w:t>
      </w:r>
      <w:r>
        <w:br w:type="textWrapping"/>
      </w:r>
      <w:r>
        <w:rPr>
          <w:rFonts w:hint="eastAsia"/>
        </w:rPr>
        <w:t>落水管道挡鼠板的设置方式</w:t>
      </w:r>
    </w:p>
    <w:p>
      <w:pPr>
        <w:pStyle w:val="59"/>
        <w:ind w:firstLine="420"/>
      </w:pPr>
      <w:r>
        <w:t>图</w:t>
      </w:r>
      <w:r>
        <w:rPr>
          <w:rFonts w:hint="eastAsia"/>
          <w:lang w:val="en-US" w:eastAsia="zh-CN"/>
        </w:rPr>
        <w:t xml:space="preserve"> </w:t>
      </w:r>
      <w:r>
        <w:rPr>
          <w:rFonts w:hint="eastAsia"/>
        </w:rPr>
        <w:t>C.1</w:t>
      </w:r>
      <w:r>
        <w:rPr>
          <w:rFonts w:hint="eastAsia"/>
          <w:lang w:val="en-US" w:eastAsia="zh-CN"/>
        </w:rPr>
        <w:t xml:space="preserve"> </w:t>
      </w:r>
      <w:r>
        <w:rPr>
          <w:rFonts w:hint="eastAsia"/>
        </w:rPr>
        <w:t>给出了</w:t>
      </w:r>
      <w:r>
        <w:rPr>
          <w:rFonts w:hint="eastAsia"/>
          <w:color w:val="000000"/>
        </w:rPr>
        <w:t>落水管道挡鼠板的设置方式。</w:t>
      </w:r>
    </w:p>
    <w:p>
      <w:pPr>
        <w:pStyle w:val="80"/>
        <w:numPr>
          <w:ilvl w:val="0"/>
          <w:numId w:val="0"/>
        </w:numPr>
        <w:spacing w:after="156"/>
      </w:pPr>
      <w:r>
        <w:drawing>
          <wp:inline distT="0" distB="0" distL="0" distR="0">
            <wp:extent cx="4590415" cy="512318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4"/>
                    <a:stretch>
                      <a:fillRect/>
                    </a:stretch>
                  </pic:blipFill>
                  <pic:spPr>
                    <a:xfrm>
                      <a:off x="0" y="0"/>
                      <a:ext cx="4590476" cy="5123809"/>
                    </a:xfrm>
                    <a:prstGeom prst="rect">
                      <a:avLst/>
                    </a:prstGeom>
                  </pic:spPr>
                </pic:pic>
              </a:graphicData>
            </a:graphic>
          </wp:inline>
        </w:drawing>
      </w:r>
    </w:p>
    <w:p>
      <w:pPr>
        <w:pStyle w:val="59"/>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jc w:val="center"/>
        <w:textAlignment w:val="auto"/>
        <w:rPr>
          <w:rFonts w:hint="eastAsia" w:ascii="黑体" w:hAnsi="黑体" w:eastAsia="黑体" w:cs="黑体"/>
        </w:rPr>
      </w:pPr>
      <w:r>
        <w:rPr>
          <w:rFonts w:hint="eastAsia" w:ascii="黑体" w:hAnsi="黑体" w:eastAsia="黑体" w:cs="黑体"/>
        </w:rPr>
        <w:t xml:space="preserve">图 C.1  </w:t>
      </w:r>
      <w:r>
        <w:rPr>
          <w:rFonts w:hint="eastAsia" w:ascii="黑体" w:hAnsi="黑体" w:eastAsia="黑体" w:cs="黑体"/>
          <w:color w:val="000000"/>
        </w:rPr>
        <w:t>落水管道挡鼠板的设置方式</w: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0" w:firstLineChars="0"/>
      </w:pPr>
    </w:p>
    <w:p>
      <w:pPr>
        <w:pStyle w:val="80"/>
        <w:numPr>
          <w:ilvl w:val="0"/>
          <w:numId w:val="0"/>
        </w:numPr>
        <w:spacing w:after="156"/>
      </w:pPr>
      <w:r>
        <w:rPr>
          <w:rFonts w:hint="eastAsia"/>
        </w:rPr>
        <w:t>附  录  D</w:t>
      </w:r>
      <w:r>
        <w:br w:type="textWrapping"/>
      </w:r>
      <w:r>
        <w:rPr>
          <w:rFonts w:hint="eastAsia"/>
        </w:rPr>
        <w:t>（资料性）</w:t>
      </w:r>
      <w:r>
        <w:br w:type="textWrapping"/>
      </w:r>
      <w:r>
        <w:rPr>
          <w:rFonts w:hint="eastAsia"/>
        </w:rPr>
        <w:t>鼠类化学防治记录表</w:t>
      </w:r>
    </w:p>
    <w:p>
      <w:pPr>
        <w:pStyle w:val="59"/>
        <w:ind w:firstLine="420"/>
      </w:pPr>
      <w:r>
        <w:rPr>
          <w:rFonts w:hint="eastAsia" w:hAnsi="宋体" w:cs="宋体"/>
        </w:rPr>
        <w:t>表</w:t>
      </w:r>
      <w:r>
        <w:rPr>
          <w:rFonts w:hint="eastAsia" w:hAnsi="宋体" w:cs="宋体"/>
          <w:lang w:val="en-US" w:eastAsia="zh-CN"/>
        </w:rPr>
        <w:t xml:space="preserve"> </w:t>
      </w:r>
      <w:r>
        <w:rPr>
          <w:rFonts w:hint="eastAsia" w:hAnsi="宋体" w:cs="宋体"/>
        </w:rPr>
        <w:t>D.1</w:t>
      </w:r>
      <w:r>
        <w:rPr>
          <w:rFonts w:hint="eastAsia" w:hAnsi="宋体" w:cs="宋体"/>
          <w:lang w:val="en-US" w:eastAsia="zh-CN"/>
        </w:rPr>
        <w:t xml:space="preserve"> </w:t>
      </w:r>
      <w:r>
        <w:rPr>
          <w:rFonts w:hint="eastAsia" w:hAnsi="宋体" w:cs="宋体"/>
        </w:rPr>
        <w:t>给出了学校食堂鼠类化学防治记录表。</w:t>
      </w:r>
    </w:p>
    <w:p>
      <w:pPr>
        <w:pStyle w:val="167"/>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jc w:val="center"/>
        <w:textAlignment w:val="auto"/>
        <w:rPr>
          <w:rFonts w:hint="eastAsia" w:ascii="黑体" w:hAnsi="黑体" w:eastAsia="黑体" w:cs="黑体"/>
        </w:rPr>
      </w:pPr>
      <w:r>
        <w:rPr>
          <w:rFonts w:hint="eastAsia" w:ascii="黑体" w:hAnsi="黑体" w:eastAsia="黑体" w:cs="黑体"/>
        </w:rPr>
        <w:t>表</w:t>
      </w:r>
      <w:r>
        <w:rPr>
          <w:rFonts w:hint="eastAsia" w:ascii="黑体" w:hAnsi="黑体" w:eastAsia="黑体" w:cs="黑体"/>
          <w:lang w:val="en-US" w:eastAsia="zh-CN"/>
        </w:rPr>
        <w:t xml:space="preserve"> </w:t>
      </w:r>
      <w:r>
        <w:rPr>
          <w:rFonts w:hint="eastAsia" w:ascii="黑体" w:hAnsi="黑体" w:eastAsia="黑体" w:cs="黑体"/>
        </w:rPr>
        <w:t>D.1  鼠类化学防治记录表(毒饵)</w:t>
      </w:r>
    </w:p>
    <w:p>
      <w:pPr>
        <w:pStyle w:val="167"/>
        <w:numPr>
          <w:ilvl w:val="0"/>
          <w:numId w:val="0"/>
        </w:numPr>
        <w:jc w:val="left"/>
        <w:rPr>
          <w:rFonts w:ascii="黑体" w:hAnsi="黑体" w:eastAsia="黑体" w:cs="黑体"/>
        </w:rPr>
      </w:pPr>
      <w:r>
        <w:rPr>
          <w:rFonts w:hint="eastAsia" w:asciiTheme="minorEastAsia" w:hAnsiTheme="minorEastAsia" w:eastAsiaTheme="minorEastAsia" w:cstheme="minorEastAsia"/>
        </w:rPr>
        <w:t xml:space="preserve">学校名称：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年    月    </w:t>
      </w:r>
      <w:r>
        <w:rPr>
          <w:rFonts w:hint="eastAsia" w:asciiTheme="minorEastAsia" w:hAnsiTheme="minorEastAsia" w:eastAsiaTheme="minorEastAsia" w:cstheme="minorEastAsia"/>
          <w:sz w:val="18"/>
          <w:szCs w:val="18"/>
        </w:rPr>
        <w:t xml:space="preserve">日                        </w:t>
      </w:r>
    </w:p>
    <w:tbl>
      <w:tblPr>
        <w:tblStyle w:val="2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55"/>
        <w:gridCol w:w="1893"/>
        <w:gridCol w:w="1600"/>
        <w:gridCol w:w="2528"/>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708" w:type="pct"/>
            <w:tcBorders>
              <w:top w:val="single" w:color="auto" w:sz="12" w:space="0"/>
              <w:left w:val="single" w:color="auto" w:sz="12" w:space="0"/>
              <w:bottom w:val="single" w:color="auto" w:sz="12" w:space="0"/>
            </w:tcBorders>
            <w:vAlign w:val="center"/>
          </w:tcPr>
          <w:p>
            <w:pPr>
              <w:spacing w:line="240" w:lineRule="auto"/>
              <w:jc w:val="center"/>
              <w:rPr>
                <w:rFonts w:ascii="宋体" w:hAnsi="宋体" w:cs="宋体"/>
                <w:snapToGrid w:val="0"/>
                <w:sz w:val="18"/>
                <w:szCs w:val="18"/>
                <w:lang w:eastAsia="en-US"/>
              </w:rPr>
            </w:pPr>
            <w:r>
              <w:rPr>
                <w:rFonts w:hint="eastAsia" w:ascii="宋体" w:hAnsi="宋体" w:cs="宋体"/>
                <w:snapToGrid w:val="0"/>
                <w:sz w:val="18"/>
                <w:szCs w:val="18"/>
                <w:lang w:eastAsia="en-US"/>
              </w:rPr>
              <w:t>投放日期</w:t>
            </w:r>
          </w:p>
        </w:tc>
        <w:tc>
          <w:tcPr>
            <w:tcW w:w="708" w:type="pct"/>
            <w:tcBorders>
              <w:top w:val="single" w:color="auto" w:sz="12" w:space="0"/>
              <w:left w:val="single" w:color="auto" w:sz="12" w:space="0"/>
              <w:bottom w:val="single" w:color="auto" w:sz="12" w:space="0"/>
              <w:right w:val="single" w:color="auto" w:sz="12" w:space="0"/>
            </w:tcBorders>
            <w:vAlign w:val="center"/>
          </w:tcPr>
          <w:p>
            <w:pPr>
              <w:spacing w:line="240" w:lineRule="auto"/>
              <w:jc w:val="center"/>
              <w:rPr>
                <w:rFonts w:ascii="宋体" w:hAnsi="宋体" w:cs="宋体"/>
                <w:snapToGrid w:val="0"/>
                <w:sz w:val="18"/>
                <w:szCs w:val="18"/>
                <w:lang w:eastAsia="en-US"/>
              </w:rPr>
            </w:pPr>
            <w:r>
              <w:rPr>
                <w:rFonts w:hint="eastAsia" w:ascii="宋体" w:hAnsi="宋体" w:cs="宋体"/>
                <w:snapToGrid w:val="0"/>
                <w:sz w:val="18"/>
                <w:szCs w:val="18"/>
                <w:lang w:eastAsia="en-US"/>
              </w:rPr>
              <w:t>投放地点</w:t>
            </w:r>
          </w:p>
        </w:tc>
        <w:tc>
          <w:tcPr>
            <w:tcW w:w="989" w:type="pct"/>
            <w:tcBorders>
              <w:top w:val="single" w:color="auto" w:sz="12" w:space="0"/>
              <w:left w:val="single" w:color="auto" w:sz="12" w:space="0"/>
              <w:bottom w:val="single" w:color="auto" w:sz="12" w:space="0"/>
            </w:tcBorders>
            <w:vAlign w:val="center"/>
          </w:tcPr>
          <w:p>
            <w:pPr>
              <w:spacing w:line="240" w:lineRule="auto"/>
              <w:jc w:val="center"/>
              <w:rPr>
                <w:rFonts w:ascii="宋体" w:hAnsi="宋体" w:cs="宋体"/>
                <w:snapToGrid w:val="0"/>
                <w:sz w:val="18"/>
                <w:szCs w:val="18"/>
                <w:lang w:eastAsia="en-US"/>
              </w:rPr>
            </w:pPr>
            <w:r>
              <w:rPr>
                <w:rFonts w:hint="eastAsia" w:ascii="宋体" w:hAnsi="宋体" w:cs="宋体"/>
                <w:snapToGrid w:val="0"/>
                <w:sz w:val="18"/>
                <w:szCs w:val="18"/>
                <w:lang w:eastAsia="en-US"/>
              </w:rPr>
              <w:t>投放毒饵站个数</w:t>
            </w:r>
          </w:p>
        </w:tc>
        <w:tc>
          <w:tcPr>
            <w:tcW w:w="836" w:type="pct"/>
            <w:tcBorders>
              <w:top w:val="single" w:color="auto" w:sz="12" w:space="0"/>
              <w:left w:val="single" w:color="auto" w:sz="12" w:space="0"/>
              <w:bottom w:val="single" w:color="auto" w:sz="12" w:space="0"/>
            </w:tcBorders>
            <w:vAlign w:val="center"/>
          </w:tcPr>
          <w:p>
            <w:pPr>
              <w:spacing w:line="240" w:lineRule="auto"/>
              <w:jc w:val="center"/>
              <w:rPr>
                <w:rFonts w:ascii="宋体" w:hAnsi="宋体" w:cs="宋体"/>
                <w:snapToGrid w:val="0"/>
                <w:sz w:val="18"/>
                <w:szCs w:val="18"/>
                <w:lang w:eastAsia="en-US"/>
              </w:rPr>
            </w:pPr>
            <w:r>
              <w:rPr>
                <w:rFonts w:hint="eastAsia" w:ascii="宋体" w:hAnsi="宋体" w:cs="宋体"/>
                <w:snapToGrid w:val="0"/>
                <w:sz w:val="18"/>
                <w:szCs w:val="18"/>
                <w:lang w:eastAsia="en-US"/>
              </w:rPr>
              <w:t>毒饵有效成分</w:t>
            </w:r>
          </w:p>
        </w:tc>
        <w:tc>
          <w:tcPr>
            <w:tcW w:w="1321" w:type="pct"/>
            <w:tcBorders>
              <w:top w:val="single" w:color="auto" w:sz="12" w:space="0"/>
              <w:bottom w:val="single" w:color="auto" w:sz="12" w:space="0"/>
            </w:tcBorders>
            <w:vAlign w:val="center"/>
          </w:tcPr>
          <w:p>
            <w:pPr>
              <w:spacing w:line="240" w:lineRule="auto"/>
              <w:jc w:val="center"/>
              <w:rPr>
                <w:rFonts w:ascii="宋体" w:hAnsi="宋体" w:cs="宋体"/>
                <w:snapToGrid w:val="0"/>
                <w:sz w:val="18"/>
                <w:szCs w:val="18"/>
                <w:lang w:eastAsia="en-US"/>
              </w:rPr>
            </w:pPr>
            <w:r>
              <w:rPr>
                <w:rFonts w:ascii="宋体" w:hAnsi="宋体" w:cs="宋体"/>
                <w:snapToGrid w:val="0"/>
                <w:sz w:val="18"/>
                <w:szCs w:val="18"/>
                <w:lang w:eastAsia="en-US"/>
              </w:rPr>
              <w:t>投放毒饵总量（g）</w:t>
            </w:r>
          </w:p>
        </w:tc>
        <w:tc>
          <w:tcPr>
            <w:tcW w:w="435" w:type="pct"/>
            <w:tcBorders>
              <w:top w:val="single" w:color="auto" w:sz="12" w:space="0"/>
              <w:bottom w:val="single" w:color="auto" w:sz="12" w:space="0"/>
              <w:right w:val="single" w:color="auto" w:sz="12" w:space="0"/>
            </w:tcBorders>
            <w:vAlign w:val="center"/>
          </w:tcPr>
          <w:p>
            <w:pPr>
              <w:spacing w:line="240" w:lineRule="auto"/>
              <w:jc w:val="center"/>
              <w:rPr>
                <w:rFonts w:ascii="宋体" w:hAnsi="宋体" w:cs="宋体"/>
                <w:snapToGrid w:val="0"/>
                <w:sz w:val="18"/>
                <w:szCs w:val="18"/>
                <w:lang w:eastAsia="en-US"/>
              </w:rPr>
            </w:pPr>
            <w:r>
              <w:rPr>
                <w:rFonts w:hint="eastAsia" w:ascii="宋体" w:hAnsi="宋体" w:cs="宋体"/>
                <w:snapToGrid w:val="0"/>
                <w:sz w:val="18"/>
                <w:szCs w:val="18"/>
                <w:lang w:eastAsia="en-U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708" w:type="pct"/>
            <w:tcBorders>
              <w:top w:val="single" w:color="auto" w:sz="12" w:space="0"/>
              <w:left w:val="single" w:color="auto" w:sz="12" w:space="0"/>
            </w:tcBorders>
            <w:vAlign w:val="center"/>
          </w:tcPr>
          <w:p>
            <w:pPr>
              <w:spacing w:line="240" w:lineRule="auto"/>
              <w:jc w:val="center"/>
              <w:rPr>
                <w:rFonts w:ascii="宋体" w:hAnsi="宋体" w:cs="宋体"/>
                <w:sz w:val="18"/>
                <w:szCs w:val="18"/>
              </w:rPr>
            </w:pPr>
          </w:p>
        </w:tc>
        <w:tc>
          <w:tcPr>
            <w:tcW w:w="708" w:type="pct"/>
            <w:tcBorders>
              <w:top w:val="single" w:color="auto" w:sz="12" w:space="0"/>
              <w:left w:val="single" w:color="auto" w:sz="12" w:space="0"/>
              <w:right w:val="single" w:color="auto" w:sz="12" w:space="0"/>
            </w:tcBorders>
            <w:vAlign w:val="center"/>
          </w:tcPr>
          <w:p>
            <w:pPr>
              <w:spacing w:line="240" w:lineRule="auto"/>
              <w:jc w:val="center"/>
              <w:rPr>
                <w:rFonts w:ascii="宋体" w:hAnsi="宋体" w:cs="宋体"/>
                <w:sz w:val="18"/>
                <w:szCs w:val="18"/>
              </w:rPr>
            </w:pPr>
          </w:p>
        </w:tc>
        <w:tc>
          <w:tcPr>
            <w:tcW w:w="989" w:type="pct"/>
            <w:tcBorders>
              <w:top w:val="single" w:color="auto" w:sz="12" w:space="0"/>
              <w:left w:val="single" w:color="auto" w:sz="12" w:space="0"/>
            </w:tcBorders>
            <w:vAlign w:val="center"/>
          </w:tcPr>
          <w:p>
            <w:pPr>
              <w:spacing w:line="240" w:lineRule="auto"/>
              <w:jc w:val="center"/>
              <w:rPr>
                <w:rFonts w:ascii="宋体" w:hAnsi="宋体" w:cs="宋体"/>
                <w:sz w:val="18"/>
                <w:szCs w:val="18"/>
              </w:rPr>
            </w:pPr>
          </w:p>
        </w:tc>
        <w:tc>
          <w:tcPr>
            <w:tcW w:w="836" w:type="pct"/>
            <w:tcBorders>
              <w:top w:val="single" w:color="auto" w:sz="12" w:space="0"/>
              <w:left w:val="single" w:color="auto" w:sz="12" w:space="0"/>
            </w:tcBorders>
            <w:vAlign w:val="center"/>
          </w:tcPr>
          <w:p>
            <w:pPr>
              <w:spacing w:line="240" w:lineRule="auto"/>
              <w:jc w:val="center"/>
              <w:rPr>
                <w:rFonts w:ascii="宋体" w:hAnsi="宋体" w:cs="宋体"/>
                <w:sz w:val="18"/>
                <w:szCs w:val="18"/>
              </w:rPr>
            </w:pPr>
          </w:p>
        </w:tc>
        <w:tc>
          <w:tcPr>
            <w:tcW w:w="1321" w:type="pct"/>
            <w:tcBorders>
              <w:top w:val="single" w:color="auto" w:sz="12" w:space="0"/>
            </w:tcBorders>
            <w:vAlign w:val="center"/>
          </w:tcPr>
          <w:p>
            <w:pPr>
              <w:spacing w:line="240" w:lineRule="auto"/>
              <w:jc w:val="center"/>
              <w:rPr>
                <w:rFonts w:ascii="宋体" w:hAnsi="宋体" w:cs="宋体"/>
                <w:sz w:val="18"/>
                <w:szCs w:val="18"/>
              </w:rPr>
            </w:pPr>
          </w:p>
        </w:tc>
        <w:tc>
          <w:tcPr>
            <w:tcW w:w="435" w:type="pct"/>
            <w:tcBorders>
              <w:top w:val="single" w:color="auto" w:sz="12" w:space="0"/>
              <w:right w:val="single" w:color="auto" w:sz="12" w:space="0"/>
            </w:tcBorders>
            <w:vAlign w:val="center"/>
          </w:tcPr>
          <w:p>
            <w:pPr>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708" w:type="pct"/>
            <w:tcBorders>
              <w:left w:val="single" w:color="auto" w:sz="12" w:space="0"/>
            </w:tcBorders>
            <w:vAlign w:val="center"/>
          </w:tcPr>
          <w:p>
            <w:pPr>
              <w:spacing w:line="240" w:lineRule="auto"/>
              <w:jc w:val="center"/>
              <w:rPr>
                <w:rFonts w:ascii="宋体" w:hAnsi="宋体" w:cs="宋体"/>
                <w:sz w:val="18"/>
                <w:szCs w:val="18"/>
              </w:rPr>
            </w:pPr>
          </w:p>
        </w:tc>
        <w:tc>
          <w:tcPr>
            <w:tcW w:w="708" w:type="pct"/>
            <w:tcBorders>
              <w:left w:val="single" w:color="auto" w:sz="12" w:space="0"/>
              <w:right w:val="single" w:color="auto" w:sz="12" w:space="0"/>
            </w:tcBorders>
            <w:vAlign w:val="center"/>
          </w:tcPr>
          <w:p>
            <w:pPr>
              <w:spacing w:line="240" w:lineRule="auto"/>
              <w:jc w:val="center"/>
              <w:rPr>
                <w:rFonts w:ascii="宋体" w:hAnsi="宋体" w:cs="宋体"/>
                <w:sz w:val="18"/>
                <w:szCs w:val="18"/>
              </w:rPr>
            </w:pPr>
          </w:p>
        </w:tc>
        <w:tc>
          <w:tcPr>
            <w:tcW w:w="989" w:type="pct"/>
            <w:tcBorders>
              <w:left w:val="single" w:color="auto" w:sz="12" w:space="0"/>
            </w:tcBorders>
            <w:vAlign w:val="center"/>
          </w:tcPr>
          <w:p>
            <w:pPr>
              <w:spacing w:line="240" w:lineRule="auto"/>
              <w:jc w:val="center"/>
              <w:rPr>
                <w:rFonts w:ascii="宋体" w:hAnsi="宋体" w:cs="宋体"/>
                <w:sz w:val="18"/>
                <w:szCs w:val="18"/>
              </w:rPr>
            </w:pPr>
          </w:p>
        </w:tc>
        <w:tc>
          <w:tcPr>
            <w:tcW w:w="836" w:type="pct"/>
            <w:tcBorders>
              <w:left w:val="single" w:color="auto" w:sz="12" w:space="0"/>
            </w:tcBorders>
            <w:vAlign w:val="center"/>
          </w:tcPr>
          <w:p>
            <w:pPr>
              <w:spacing w:line="240" w:lineRule="auto"/>
              <w:jc w:val="center"/>
              <w:rPr>
                <w:rFonts w:ascii="宋体" w:hAnsi="宋体" w:cs="宋体"/>
                <w:sz w:val="18"/>
                <w:szCs w:val="18"/>
              </w:rPr>
            </w:pPr>
          </w:p>
        </w:tc>
        <w:tc>
          <w:tcPr>
            <w:tcW w:w="1321" w:type="pct"/>
            <w:vAlign w:val="center"/>
          </w:tcPr>
          <w:p>
            <w:pPr>
              <w:spacing w:line="240" w:lineRule="auto"/>
              <w:jc w:val="center"/>
              <w:rPr>
                <w:rFonts w:ascii="宋体" w:hAnsi="宋体" w:cs="宋体"/>
                <w:sz w:val="18"/>
                <w:szCs w:val="18"/>
              </w:rPr>
            </w:pPr>
          </w:p>
        </w:tc>
        <w:tc>
          <w:tcPr>
            <w:tcW w:w="435" w:type="pct"/>
            <w:tcBorders>
              <w:right w:val="single" w:color="auto" w:sz="12" w:space="0"/>
            </w:tcBorders>
            <w:vAlign w:val="center"/>
          </w:tcPr>
          <w:p>
            <w:pPr>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708" w:type="pct"/>
            <w:tcBorders>
              <w:left w:val="single" w:color="auto" w:sz="12" w:space="0"/>
            </w:tcBorders>
            <w:vAlign w:val="center"/>
          </w:tcPr>
          <w:p>
            <w:pPr>
              <w:spacing w:line="240" w:lineRule="auto"/>
              <w:jc w:val="center"/>
              <w:rPr>
                <w:rFonts w:ascii="宋体" w:hAnsi="宋体" w:cs="宋体"/>
                <w:sz w:val="18"/>
                <w:szCs w:val="18"/>
              </w:rPr>
            </w:pPr>
          </w:p>
        </w:tc>
        <w:tc>
          <w:tcPr>
            <w:tcW w:w="708" w:type="pct"/>
            <w:tcBorders>
              <w:left w:val="single" w:color="auto" w:sz="12" w:space="0"/>
              <w:right w:val="single" w:color="auto" w:sz="12" w:space="0"/>
            </w:tcBorders>
            <w:vAlign w:val="center"/>
          </w:tcPr>
          <w:p>
            <w:pPr>
              <w:spacing w:line="240" w:lineRule="auto"/>
              <w:jc w:val="center"/>
              <w:rPr>
                <w:rFonts w:ascii="宋体" w:hAnsi="宋体" w:cs="宋体"/>
                <w:sz w:val="18"/>
                <w:szCs w:val="18"/>
              </w:rPr>
            </w:pPr>
          </w:p>
        </w:tc>
        <w:tc>
          <w:tcPr>
            <w:tcW w:w="989" w:type="pct"/>
            <w:tcBorders>
              <w:left w:val="single" w:color="auto" w:sz="12" w:space="0"/>
            </w:tcBorders>
            <w:vAlign w:val="center"/>
          </w:tcPr>
          <w:p>
            <w:pPr>
              <w:spacing w:line="240" w:lineRule="auto"/>
              <w:jc w:val="center"/>
              <w:rPr>
                <w:rFonts w:ascii="宋体" w:hAnsi="宋体" w:cs="宋体"/>
                <w:sz w:val="18"/>
                <w:szCs w:val="18"/>
              </w:rPr>
            </w:pPr>
          </w:p>
        </w:tc>
        <w:tc>
          <w:tcPr>
            <w:tcW w:w="836" w:type="pct"/>
            <w:tcBorders>
              <w:left w:val="single" w:color="auto" w:sz="12" w:space="0"/>
            </w:tcBorders>
            <w:vAlign w:val="center"/>
          </w:tcPr>
          <w:p>
            <w:pPr>
              <w:spacing w:line="240" w:lineRule="auto"/>
              <w:jc w:val="center"/>
              <w:rPr>
                <w:rFonts w:ascii="宋体" w:hAnsi="宋体" w:cs="宋体"/>
                <w:sz w:val="18"/>
                <w:szCs w:val="18"/>
              </w:rPr>
            </w:pPr>
          </w:p>
        </w:tc>
        <w:tc>
          <w:tcPr>
            <w:tcW w:w="1321" w:type="pct"/>
            <w:vAlign w:val="center"/>
          </w:tcPr>
          <w:p>
            <w:pPr>
              <w:spacing w:line="240" w:lineRule="auto"/>
              <w:jc w:val="center"/>
              <w:rPr>
                <w:rFonts w:ascii="宋体" w:hAnsi="宋体" w:cs="宋体"/>
                <w:sz w:val="18"/>
                <w:szCs w:val="18"/>
              </w:rPr>
            </w:pPr>
          </w:p>
        </w:tc>
        <w:tc>
          <w:tcPr>
            <w:tcW w:w="435" w:type="pct"/>
            <w:tcBorders>
              <w:right w:val="single" w:color="auto" w:sz="12" w:space="0"/>
            </w:tcBorders>
            <w:vAlign w:val="center"/>
          </w:tcPr>
          <w:p>
            <w:pPr>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708" w:type="pct"/>
            <w:tcBorders>
              <w:left w:val="single" w:color="auto" w:sz="12" w:space="0"/>
              <w:bottom w:val="single" w:color="auto" w:sz="12" w:space="0"/>
            </w:tcBorders>
            <w:vAlign w:val="center"/>
          </w:tcPr>
          <w:p>
            <w:pPr>
              <w:spacing w:line="240" w:lineRule="auto"/>
              <w:jc w:val="center"/>
              <w:rPr>
                <w:rFonts w:ascii="宋体" w:hAnsi="宋体" w:cs="宋体"/>
                <w:sz w:val="18"/>
                <w:szCs w:val="18"/>
              </w:rPr>
            </w:pPr>
          </w:p>
        </w:tc>
        <w:tc>
          <w:tcPr>
            <w:tcW w:w="708" w:type="pct"/>
            <w:tcBorders>
              <w:left w:val="single" w:color="auto" w:sz="12" w:space="0"/>
              <w:bottom w:val="single" w:color="auto" w:sz="12" w:space="0"/>
              <w:right w:val="single" w:color="auto" w:sz="12" w:space="0"/>
            </w:tcBorders>
            <w:vAlign w:val="center"/>
          </w:tcPr>
          <w:p>
            <w:pPr>
              <w:spacing w:line="240" w:lineRule="auto"/>
              <w:jc w:val="center"/>
              <w:rPr>
                <w:rFonts w:ascii="宋体" w:hAnsi="宋体" w:cs="宋体"/>
                <w:sz w:val="18"/>
                <w:szCs w:val="18"/>
              </w:rPr>
            </w:pPr>
          </w:p>
        </w:tc>
        <w:tc>
          <w:tcPr>
            <w:tcW w:w="989" w:type="pct"/>
            <w:tcBorders>
              <w:left w:val="single" w:color="auto" w:sz="12" w:space="0"/>
              <w:bottom w:val="single" w:color="auto" w:sz="12" w:space="0"/>
            </w:tcBorders>
            <w:vAlign w:val="center"/>
          </w:tcPr>
          <w:p>
            <w:pPr>
              <w:spacing w:line="240" w:lineRule="auto"/>
              <w:jc w:val="center"/>
              <w:rPr>
                <w:rFonts w:ascii="宋体" w:hAnsi="宋体" w:cs="宋体"/>
                <w:sz w:val="18"/>
                <w:szCs w:val="18"/>
              </w:rPr>
            </w:pPr>
          </w:p>
        </w:tc>
        <w:tc>
          <w:tcPr>
            <w:tcW w:w="836" w:type="pct"/>
            <w:tcBorders>
              <w:left w:val="single" w:color="auto" w:sz="12" w:space="0"/>
              <w:bottom w:val="single" w:color="auto" w:sz="12" w:space="0"/>
            </w:tcBorders>
            <w:vAlign w:val="center"/>
          </w:tcPr>
          <w:p>
            <w:pPr>
              <w:spacing w:line="240" w:lineRule="auto"/>
              <w:jc w:val="center"/>
              <w:rPr>
                <w:rFonts w:ascii="宋体" w:hAnsi="宋体" w:cs="宋体"/>
                <w:sz w:val="18"/>
                <w:szCs w:val="18"/>
              </w:rPr>
            </w:pPr>
          </w:p>
        </w:tc>
        <w:tc>
          <w:tcPr>
            <w:tcW w:w="1321" w:type="pct"/>
            <w:tcBorders>
              <w:bottom w:val="single" w:color="auto" w:sz="12" w:space="0"/>
            </w:tcBorders>
            <w:vAlign w:val="center"/>
          </w:tcPr>
          <w:p>
            <w:pPr>
              <w:spacing w:line="240" w:lineRule="auto"/>
              <w:jc w:val="center"/>
              <w:rPr>
                <w:rFonts w:ascii="宋体" w:hAnsi="宋体" w:cs="宋体"/>
                <w:sz w:val="18"/>
                <w:szCs w:val="18"/>
              </w:rPr>
            </w:pPr>
          </w:p>
        </w:tc>
        <w:tc>
          <w:tcPr>
            <w:tcW w:w="435" w:type="pct"/>
            <w:tcBorders>
              <w:bottom w:val="single" w:color="auto" w:sz="12" w:space="0"/>
              <w:right w:val="single" w:color="auto" w:sz="12" w:space="0"/>
            </w:tcBorders>
            <w:vAlign w:val="center"/>
          </w:tcPr>
          <w:p>
            <w:pPr>
              <w:spacing w:line="240" w:lineRule="auto"/>
              <w:jc w:val="center"/>
              <w:rPr>
                <w:rFonts w:ascii="宋体" w:hAnsi="宋体" w:cs="宋体"/>
                <w:sz w:val="18"/>
                <w:szCs w:val="18"/>
              </w:rPr>
            </w:pPr>
          </w:p>
        </w:tc>
      </w:tr>
      <w:bookmarkEnd w:id="20"/>
    </w:tbl>
    <w:p>
      <w:pPr>
        <w:pStyle w:val="59"/>
        <w:ind w:right="420" w:firstLine="6930" w:firstLineChars="3300"/>
      </w:pPr>
      <w:r>
        <w:rPr>
          <w:rFonts w:hint="eastAsia" w:asciiTheme="minorEastAsia" w:hAnsiTheme="minorEastAsia" w:eastAsiaTheme="minorEastAsia" w:cstheme="minorEastAsia"/>
          <w:sz w:val="21"/>
          <w:szCs w:val="21"/>
        </w:rPr>
        <w:t xml:space="preserve">作业人员： </w:t>
      </w:r>
      <w:r>
        <w:rPr>
          <w:rFonts w:hint="eastAsia" w:asciiTheme="minorEastAsia" w:hAnsiTheme="minorEastAsia" w:eastAsiaTheme="minorEastAsia" w:cstheme="minorEastAsia"/>
        </w:rPr>
        <w:t xml:space="preserve"> </w:t>
      </w:r>
    </w:p>
    <w:p>
      <w:pPr>
        <w:pStyle w:val="59"/>
        <w:ind w:firstLine="420"/>
        <w:jc w:val="center"/>
      </w:pPr>
      <w:r>
        <w:drawing>
          <wp:inline distT="0" distB="0" distL="114300" distR="114300">
            <wp:extent cx="1485900" cy="317500"/>
            <wp:effectExtent l="0" t="0" r="0" b="635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25"/>
                    <a:stretch>
                      <a:fillRect/>
                    </a:stretch>
                  </pic:blipFill>
                  <pic:spPr>
                    <a:xfrm>
                      <a:off x="0" y="0"/>
                      <a:ext cx="1485900" cy="317500"/>
                    </a:xfrm>
                    <a:prstGeom prst="rect">
                      <a:avLst/>
                    </a:prstGeom>
                    <a:noFill/>
                    <a:ln>
                      <a:noFill/>
                    </a:ln>
                  </pic:spPr>
                </pic:pic>
              </a:graphicData>
            </a:graphic>
          </wp:inline>
        </w:drawing>
      </w: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p>
      <w:pPr>
        <w:pStyle w:val="59"/>
        <w:ind w:firstLine="420"/>
        <w:jc w:val="center"/>
      </w:pPr>
    </w:p>
    <w:sectPr>
      <w:pgSz w:w="11906" w:h="16838"/>
      <w:pgMar w:top="1928"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DB50/T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DB50/T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DB50/T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DB50/T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DB50/T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DB50/T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hAnsi="等线" w:eastAsia="黑体"/>
        <w:b w:val="0"/>
        <w:i w:val="0"/>
        <w:sz w:val="21"/>
      </w:rPr>
    </w:lvl>
    <w:lvl w:ilvl="2" w:tentative="0">
      <w:start w:val="1"/>
      <w:numFmt w:val="decimal"/>
      <w:pStyle w:val="202"/>
      <w:suff w:val="nothing"/>
      <w:lvlText w:val="%10.%2.%3 "/>
      <w:lvlJc w:val="left"/>
      <w:pPr>
        <w:ind w:left="0" w:firstLine="0"/>
      </w:pPr>
      <w:rPr>
        <w:rFonts w:hint="eastAsia" w:ascii="黑体" w:hAnsi="等线" w:eastAsia="黑体"/>
        <w:b w:val="0"/>
        <w:i w:val="0"/>
        <w:sz w:val="21"/>
      </w:rPr>
    </w:lvl>
    <w:lvl w:ilvl="3" w:tentative="0">
      <w:start w:val="1"/>
      <w:numFmt w:val="decimal"/>
      <w:pStyle w:val="203"/>
      <w:suff w:val="nothing"/>
      <w:lvlText w:val="%10.%2.%3.%4 "/>
      <w:lvlJc w:val="left"/>
      <w:pPr>
        <w:ind w:left="0" w:firstLine="0"/>
      </w:pPr>
      <w:rPr>
        <w:rFonts w:hint="eastAsia" w:ascii="黑体" w:hAnsi="等线" w:eastAsia="黑体"/>
        <w:b w:val="0"/>
        <w:i w:val="0"/>
        <w:sz w:val="21"/>
      </w:rPr>
    </w:lvl>
    <w:lvl w:ilvl="4" w:tentative="0">
      <w:start w:val="1"/>
      <w:numFmt w:val="decimal"/>
      <w:pStyle w:val="204"/>
      <w:suff w:val="nothing"/>
      <w:lvlText w:val="%10.%2.%3.%4.%5 "/>
      <w:lvlJc w:val="left"/>
      <w:pPr>
        <w:ind w:left="0" w:firstLine="0"/>
      </w:pPr>
      <w:rPr>
        <w:rFonts w:hint="eastAsia" w:ascii="黑体" w:hAnsi="等线" w:eastAsia="黑体"/>
        <w:b w:val="0"/>
        <w:i w:val="0"/>
        <w:sz w:val="21"/>
      </w:rPr>
    </w:lvl>
    <w:lvl w:ilvl="5" w:tentative="0">
      <w:start w:val="1"/>
      <w:numFmt w:val="decimal"/>
      <w:pStyle w:val="205"/>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7"/>
      <w:suff w:val="nothing"/>
      <w:lvlText w:val="%1.%2.%3　"/>
      <w:lvlJc w:val="left"/>
      <w:pPr>
        <w:ind w:left="1135" w:firstLine="0"/>
      </w:pPr>
      <w:rPr>
        <w:rFonts w:hint="default"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1250BAC"/>
    <w:multiLevelType w:val="multilevel"/>
    <w:tmpl w:val="51250BAC"/>
    <w:lvl w:ilvl="0" w:tentative="0">
      <w:start w:val="1"/>
      <w:numFmt w:val="lowerLetter"/>
      <w:pStyle w:val="238"/>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0"/>
      <w:suff w:val="nothing"/>
      <w:lvlText w:val="附录%1"/>
      <w:lvlJc w:val="left"/>
      <w:pPr>
        <w:ind w:left="4253" w:firstLine="0"/>
      </w:pPr>
      <w:rPr>
        <w:rFonts w:hint="eastAsia"/>
        <w:spacing w:val="100"/>
        <w:lang w:val="en-US"/>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4253"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17"/>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1ZTM5ZjU0MmI5NDJkNTc1OGY3YjRmYjcxYTJhNmMifQ=="/>
    <w:docVar w:name="KSO_WPS_MARK_KEY" w:val="32cd2ac4-9cb0-4467-a1a7-c45a061f8ee6"/>
  </w:docVars>
  <w:rsids>
    <w:rsidRoot w:val="009C4F89"/>
    <w:rsid w:val="0000040A"/>
    <w:rsid w:val="00000A94"/>
    <w:rsid w:val="00001972"/>
    <w:rsid w:val="00001D9A"/>
    <w:rsid w:val="00007B3A"/>
    <w:rsid w:val="00007D77"/>
    <w:rsid w:val="000107E0"/>
    <w:rsid w:val="00011FDE"/>
    <w:rsid w:val="00012FFD"/>
    <w:rsid w:val="00014162"/>
    <w:rsid w:val="00014340"/>
    <w:rsid w:val="0001664E"/>
    <w:rsid w:val="00016A9C"/>
    <w:rsid w:val="00022184"/>
    <w:rsid w:val="00022762"/>
    <w:rsid w:val="000238E0"/>
    <w:rsid w:val="000249DB"/>
    <w:rsid w:val="0002595E"/>
    <w:rsid w:val="0002614C"/>
    <w:rsid w:val="000303C3"/>
    <w:rsid w:val="000331D3"/>
    <w:rsid w:val="000346A5"/>
    <w:rsid w:val="000359C3"/>
    <w:rsid w:val="00035A7D"/>
    <w:rsid w:val="000365ED"/>
    <w:rsid w:val="000409D7"/>
    <w:rsid w:val="0004249A"/>
    <w:rsid w:val="00043282"/>
    <w:rsid w:val="00044286"/>
    <w:rsid w:val="00045A27"/>
    <w:rsid w:val="00047F28"/>
    <w:rsid w:val="000503AA"/>
    <w:rsid w:val="000506A1"/>
    <w:rsid w:val="000515DD"/>
    <w:rsid w:val="0005265A"/>
    <w:rsid w:val="000539DD"/>
    <w:rsid w:val="00053BD3"/>
    <w:rsid w:val="000556ED"/>
    <w:rsid w:val="00055FE2"/>
    <w:rsid w:val="0005616F"/>
    <w:rsid w:val="00056201"/>
    <w:rsid w:val="00060C2E"/>
    <w:rsid w:val="00061033"/>
    <w:rsid w:val="000619E9"/>
    <w:rsid w:val="000622D4"/>
    <w:rsid w:val="0006357D"/>
    <w:rsid w:val="00067F1E"/>
    <w:rsid w:val="00071CC0"/>
    <w:rsid w:val="000737A0"/>
    <w:rsid w:val="00073C8C"/>
    <w:rsid w:val="00077B64"/>
    <w:rsid w:val="00080A1C"/>
    <w:rsid w:val="00082317"/>
    <w:rsid w:val="00083D2C"/>
    <w:rsid w:val="00086AA1"/>
    <w:rsid w:val="00087A77"/>
    <w:rsid w:val="00090211"/>
    <w:rsid w:val="00090CA6"/>
    <w:rsid w:val="00092B8A"/>
    <w:rsid w:val="00092FB0"/>
    <w:rsid w:val="000934C5"/>
    <w:rsid w:val="00093D25"/>
    <w:rsid w:val="00093DAB"/>
    <w:rsid w:val="00094D73"/>
    <w:rsid w:val="00096D63"/>
    <w:rsid w:val="000A0B60"/>
    <w:rsid w:val="000A0EB8"/>
    <w:rsid w:val="000A19FC"/>
    <w:rsid w:val="000A296B"/>
    <w:rsid w:val="000A7311"/>
    <w:rsid w:val="000A7A16"/>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F8A"/>
    <w:rsid w:val="000E4C9E"/>
    <w:rsid w:val="000E6FD7"/>
    <w:rsid w:val="000F06E1"/>
    <w:rsid w:val="000F0E3C"/>
    <w:rsid w:val="000F19D5"/>
    <w:rsid w:val="000F4AEA"/>
    <w:rsid w:val="000F633F"/>
    <w:rsid w:val="000F67E9"/>
    <w:rsid w:val="000F7EFE"/>
    <w:rsid w:val="00103F45"/>
    <w:rsid w:val="00104926"/>
    <w:rsid w:val="00113B1E"/>
    <w:rsid w:val="0011711C"/>
    <w:rsid w:val="0012059C"/>
    <w:rsid w:val="001235FB"/>
    <w:rsid w:val="00124E4F"/>
    <w:rsid w:val="001260B7"/>
    <w:rsid w:val="001265CB"/>
    <w:rsid w:val="001321C6"/>
    <w:rsid w:val="001325C4"/>
    <w:rsid w:val="00133010"/>
    <w:rsid w:val="00133031"/>
    <w:rsid w:val="001338EE"/>
    <w:rsid w:val="00133AAE"/>
    <w:rsid w:val="00135323"/>
    <w:rsid w:val="001356C4"/>
    <w:rsid w:val="00140347"/>
    <w:rsid w:val="00141114"/>
    <w:rsid w:val="0014150A"/>
    <w:rsid w:val="00142969"/>
    <w:rsid w:val="001446C2"/>
    <w:rsid w:val="001457E7"/>
    <w:rsid w:val="00145D9D"/>
    <w:rsid w:val="00146388"/>
    <w:rsid w:val="00150256"/>
    <w:rsid w:val="001529E5"/>
    <w:rsid w:val="00153C7E"/>
    <w:rsid w:val="001548B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1CF"/>
    <w:rsid w:val="001852C9"/>
    <w:rsid w:val="00190087"/>
    <w:rsid w:val="001910C6"/>
    <w:rsid w:val="001913C4"/>
    <w:rsid w:val="0019348F"/>
    <w:rsid w:val="00193A07"/>
    <w:rsid w:val="00194C95"/>
    <w:rsid w:val="00195C34"/>
    <w:rsid w:val="00196EF5"/>
    <w:rsid w:val="001A1A53"/>
    <w:rsid w:val="001A234A"/>
    <w:rsid w:val="001A4CF3"/>
    <w:rsid w:val="001B0258"/>
    <w:rsid w:val="001B06E8"/>
    <w:rsid w:val="001B211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03B"/>
    <w:rsid w:val="001F143A"/>
    <w:rsid w:val="001F1605"/>
    <w:rsid w:val="001F2508"/>
    <w:rsid w:val="001F4067"/>
    <w:rsid w:val="001F4816"/>
    <w:rsid w:val="001F4EE9"/>
    <w:rsid w:val="001F69B4"/>
    <w:rsid w:val="001F77C7"/>
    <w:rsid w:val="00200183"/>
    <w:rsid w:val="00200333"/>
    <w:rsid w:val="0020107D"/>
    <w:rsid w:val="00202AA4"/>
    <w:rsid w:val="002031F7"/>
    <w:rsid w:val="002033D7"/>
    <w:rsid w:val="002040E6"/>
    <w:rsid w:val="0020527B"/>
    <w:rsid w:val="00205F2C"/>
    <w:rsid w:val="0021091D"/>
    <w:rsid w:val="00210B15"/>
    <w:rsid w:val="002142EA"/>
    <w:rsid w:val="00215974"/>
    <w:rsid w:val="002204BB"/>
    <w:rsid w:val="00221B79"/>
    <w:rsid w:val="00221C6B"/>
    <w:rsid w:val="00224624"/>
    <w:rsid w:val="002253A1"/>
    <w:rsid w:val="00225CF8"/>
    <w:rsid w:val="0022794E"/>
    <w:rsid w:val="0023362C"/>
    <w:rsid w:val="00233D64"/>
    <w:rsid w:val="0023482A"/>
    <w:rsid w:val="002359CB"/>
    <w:rsid w:val="00235CE1"/>
    <w:rsid w:val="0023663B"/>
    <w:rsid w:val="00243540"/>
    <w:rsid w:val="0024497B"/>
    <w:rsid w:val="0024515B"/>
    <w:rsid w:val="002459C4"/>
    <w:rsid w:val="00246021"/>
    <w:rsid w:val="0024666E"/>
    <w:rsid w:val="00247F52"/>
    <w:rsid w:val="00250B25"/>
    <w:rsid w:val="00250BBE"/>
    <w:rsid w:val="002515C2"/>
    <w:rsid w:val="0025194F"/>
    <w:rsid w:val="0025370E"/>
    <w:rsid w:val="00257013"/>
    <w:rsid w:val="0026148A"/>
    <w:rsid w:val="00262696"/>
    <w:rsid w:val="00263D25"/>
    <w:rsid w:val="002643C3"/>
    <w:rsid w:val="00264A0C"/>
    <w:rsid w:val="00266EEB"/>
    <w:rsid w:val="0026747F"/>
    <w:rsid w:val="00267EF4"/>
    <w:rsid w:val="00270CB8"/>
    <w:rsid w:val="00272B08"/>
    <w:rsid w:val="002771AC"/>
    <w:rsid w:val="00281BB8"/>
    <w:rsid w:val="00281E9E"/>
    <w:rsid w:val="00282405"/>
    <w:rsid w:val="00282A47"/>
    <w:rsid w:val="00283350"/>
    <w:rsid w:val="00285170"/>
    <w:rsid w:val="00285361"/>
    <w:rsid w:val="002903E6"/>
    <w:rsid w:val="00292D60"/>
    <w:rsid w:val="00293B30"/>
    <w:rsid w:val="00294D34"/>
    <w:rsid w:val="00294E3B"/>
    <w:rsid w:val="00296193"/>
    <w:rsid w:val="00296C66"/>
    <w:rsid w:val="00296EBE"/>
    <w:rsid w:val="002974E3"/>
    <w:rsid w:val="002A084B"/>
    <w:rsid w:val="002A1260"/>
    <w:rsid w:val="002A1589"/>
    <w:rsid w:val="002A1608"/>
    <w:rsid w:val="002A25DC"/>
    <w:rsid w:val="002A2CE5"/>
    <w:rsid w:val="002A3AAB"/>
    <w:rsid w:val="002A4CEA"/>
    <w:rsid w:val="002A5977"/>
    <w:rsid w:val="002A5A13"/>
    <w:rsid w:val="002A757F"/>
    <w:rsid w:val="002A7F44"/>
    <w:rsid w:val="002B0C40"/>
    <w:rsid w:val="002B1966"/>
    <w:rsid w:val="002B35BE"/>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C84"/>
    <w:rsid w:val="002E4D5A"/>
    <w:rsid w:val="002E6326"/>
    <w:rsid w:val="002F30E0"/>
    <w:rsid w:val="002F35E4"/>
    <w:rsid w:val="002F3730"/>
    <w:rsid w:val="002F38E1"/>
    <w:rsid w:val="002F7AF6"/>
    <w:rsid w:val="00300E63"/>
    <w:rsid w:val="00302F5F"/>
    <w:rsid w:val="0030441D"/>
    <w:rsid w:val="00306063"/>
    <w:rsid w:val="00307279"/>
    <w:rsid w:val="00307718"/>
    <w:rsid w:val="00313B85"/>
    <w:rsid w:val="00317898"/>
    <w:rsid w:val="00317988"/>
    <w:rsid w:val="003221B4"/>
    <w:rsid w:val="0032258D"/>
    <w:rsid w:val="00322E62"/>
    <w:rsid w:val="003240DD"/>
    <w:rsid w:val="00324D13"/>
    <w:rsid w:val="00324D2A"/>
    <w:rsid w:val="00324EDD"/>
    <w:rsid w:val="00330BAA"/>
    <w:rsid w:val="003331E4"/>
    <w:rsid w:val="00336C64"/>
    <w:rsid w:val="00337162"/>
    <w:rsid w:val="0034194F"/>
    <w:rsid w:val="00344605"/>
    <w:rsid w:val="003474AA"/>
    <w:rsid w:val="00350D1D"/>
    <w:rsid w:val="00352C83"/>
    <w:rsid w:val="0035488E"/>
    <w:rsid w:val="003615D2"/>
    <w:rsid w:val="0036429C"/>
    <w:rsid w:val="00364A53"/>
    <w:rsid w:val="003654CB"/>
    <w:rsid w:val="00365AA9"/>
    <w:rsid w:val="00365F86"/>
    <w:rsid w:val="00365F87"/>
    <w:rsid w:val="00366E89"/>
    <w:rsid w:val="003705F4"/>
    <w:rsid w:val="00370D58"/>
    <w:rsid w:val="00371316"/>
    <w:rsid w:val="00376713"/>
    <w:rsid w:val="00376DF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B54"/>
    <w:rsid w:val="003D0519"/>
    <w:rsid w:val="003D0FF6"/>
    <w:rsid w:val="003D1051"/>
    <w:rsid w:val="003D262C"/>
    <w:rsid w:val="003D6D61"/>
    <w:rsid w:val="003D79C6"/>
    <w:rsid w:val="003E091D"/>
    <w:rsid w:val="003E1C53"/>
    <w:rsid w:val="003E2A69"/>
    <w:rsid w:val="003E2D49"/>
    <w:rsid w:val="003E2FD4"/>
    <w:rsid w:val="003E49F6"/>
    <w:rsid w:val="003E660F"/>
    <w:rsid w:val="003F0841"/>
    <w:rsid w:val="003F211D"/>
    <w:rsid w:val="003F23D3"/>
    <w:rsid w:val="003F3F08"/>
    <w:rsid w:val="003F49F1"/>
    <w:rsid w:val="003F6272"/>
    <w:rsid w:val="00400E72"/>
    <w:rsid w:val="00401400"/>
    <w:rsid w:val="00404869"/>
    <w:rsid w:val="00405884"/>
    <w:rsid w:val="00407D39"/>
    <w:rsid w:val="00407F03"/>
    <w:rsid w:val="0041477A"/>
    <w:rsid w:val="004167A3"/>
    <w:rsid w:val="0042349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CDC"/>
    <w:rsid w:val="004746B1"/>
    <w:rsid w:val="0047583F"/>
    <w:rsid w:val="00475DE8"/>
    <w:rsid w:val="00481810"/>
    <w:rsid w:val="00481C44"/>
    <w:rsid w:val="0048337F"/>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AE8"/>
    <w:rsid w:val="004B2701"/>
    <w:rsid w:val="004B2E1B"/>
    <w:rsid w:val="004B3AA8"/>
    <w:rsid w:val="004B3E93"/>
    <w:rsid w:val="004C1FBC"/>
    <w:rsid w:val="004C3F1D"/>
    <w:rsid w:val="004C458D"/>
    <w:rsid w:val="004C6C1B"/>
    <w:rsid w:val="004C7556"/>
    <w:rsid w:val="004C7E8B"/>
    <w:rsid w:val="004C7E9D"/>
    <w:rsid w:val="004C7F67"/>
    <w:rsid w:val="004D076D"/>
    <w:rsid w:val="004D0EF1"/>
    <w:rsid w:val="004D2253"/>
    <w:rsid w:val="004D4406"/>
    <w:rsid w:val="004D44C9"/>
    <w:rsid w:val="004D7C42"/>
    <w:rsid w:val="004E0465"/>
    <w:rsid w:val="004E127B"/>
    <w:rsid w:val="004E1C0A"/>
    <w:rsid w:val="004E2B06"/>
    <w:rsid w:val="004E30C5"/>
    <w:rsid w:val="004E4691"/>
    <w:rsid w:val="004E4AA5"/>
    <w:rsid w:val="004E4AEE"/>
    <w:rsid w:val="004E4B4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6FB"/>
    <w:rsid w:val="00523F95"/>
    <w:rsid w:val="00524D65"/>
    <w:rsid w:val="00525B16"/>
    <w:rsid w:val="00532D1F"/>
    <w:rsid w:val="0053311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D98"/>
    <w:rsid w:val="00561475"/>
    <w:rsid w:val="0056487B"/>
    <w:rsid w:val="00564FB9"/>
    <w:rsid w:val="00565D7D"/>
    <w:rsid w:val="0056770A"/>
    <w:rsid w:val="00573D9E"/>
    <w:rsid w:val="00576B94"/>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EE4"/>
    <w:rsid w:val="005C5009"/>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F41"/>
    <w:rsid w:val="005F4712"/>
    <w:rsid w:val="005F63DF"/>
    <w:rsid w:val="006015CE"/>
    <w:rsid w:val="00603338"/>
    <w:rsid w:val="00604784"/>
    <w:rsid w:val="00606419"/>
    <w:rsid w:val="00607D29"/>
    <w:rsid w:val="00607E23"/>
    <w:rsid w:val="00612952"/>
    <w:rsid w:val="00614CC1"/>
    <w:rsid w:val="00615A9D"/>
    <w:rsid w:val="00617387"/>
    <w:rsid w:val="006205D6"/>
    <w:rsid w:val="006252D8"/>
    <w:rsid w:val="006259BC"/>
    <w:rsid w:val="0062636B"/>
    <w:rsid w:val="00632182"/>
    <w:rsid w:val="00632AE0"/>
    <w:rsid w:val="00633C17"/>
    <w:rsid w:val="00634D9E"/>
    <w:rsid w:val="00635325"/>
    <w:rsid w:val="00636E3E"/>
    <w:rsid w:val="006379F7"/>
    <w:rsid w:val="00637E4D"/>
    <w:rsid w:val="0064009A"/>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436"/>
    <w:rsid w:val="006770F4"/>
    <w:rsid w:val="00677A84"/>
    <w:rsid w:val="0068026D"/>
    <w:rsid w:val="00680A27"/>
    <w:rsid w:val="006816A4"/>
    <w:rsid w:val="006819B8"/>
    <w:rsid w:val="006840A6"/>
    <w:rsid w:val="006850CD"/>
    <w:rsid w:val="00685AAB"/>
    <w:rsid w:val="00690A6A"/>
    <w:rsid w:val="00695D22"/>
    <w:rsid w:val="006A07AA"/>
    <w:rsid w:val="006A25E5"/>
    <w:rsid w:val="006A2B46"/>
    <w:rsid w:val="006A336D"/>
    <w:rsid w:val="006A37B9"/>
    <w:rsid w:val="006B2672"/>
    <w:rsid w:val="006B54BF"/>
    <w:rsid w:val="006B5F44"/>
    <w:rsid w:val="006B5F90"/>
    <w:rsid w:val="006B62E4"/>
    <w:rsid w:val="006B731F"/>
    <w:rsid w:val="006C1BBA"/>
    <w:rsid w:val="006C2079"/>
    <w:rsid w:val="006C5A62"/>
    <w:rsid w:val="006C5D68"/>
    <w:rsid w:val="006C6976"/>
    <w:rsid w:val="006C6DD0"/>
    <w:rsid w:val="006D04EA"/>
    <w:rsid w:val="006D0AB7"/>
    <w:rsid w:val="006D16C4"/>
    <w:rsid w:val="006D3E96"/>
    <w:rsid w:val="006D41A3"/>
    <w:rsid w:val="006D4515"/>
    <w:rsid w:val="006D46F7"/>
    <w:rsid w:val="006D4BB1"/>
    <w:rsid w:val="006D6593"/>
    <w:rsid w:val="006E23EA"/>
    <w:rsid w:val="006E45A3"/>
    <w:rsid w:val="006F03A8"/>
    <w:rsid w:val="006F2ACA"/>
    <w:rsid w:val="006F2ADC"/>
    <w:rsid w:val="006F2BFE"/>
    <w:rsid w:val="006F31E9"/>
    <w:rsid w:val="006F6284"/>
    <w:rsid w:val="007002C5"/>
    <w:rsid w:val="00700F30"/>
    <w:rsid w:val="00702607"/>
    <w:rsid w:val="00704387"/>
    <w:rsid w:val="00707669"/>
    <w:rsid w:val="00711CBA"/>
    <w:rsid w:val="00711FB5"/>
    <w:rsid w:val="00712A01"/>
    <w:rsid w:val="00714F58"/>
    <w:rsid w:val="00722FBF"/>
    <w:rsid w:val="00722FC2"/>
    <w:rsid w:val="00724879"/>
    <w:rsid w:val="00724E1B"/>
    <w:rsid w:val="00725949"/>
    <w:rsid w:val="00727FA2"/>
    <w:rsid w:val="00731331"/>
    <w:rsid w:val="007322D9"/>
    <w:rsid w:val="00732BC0"/>
    <w:rsid w:val="0073720F"/>
    <w:rsid w:val="00737796"/>
    <w:rsid w:val="0074165C"/>
    <w:rsid w:val="007425EF"/>
    <w:rsid w:val="00742C35"/>
    <w:rsid w:val="007431DA"/>
    <w:rsid w:val="007432CA"/>
    <w:rsid w:val="007439EB"/>
    <w:rsid w:val="00743CB4"/>
    <w:rsid w:val="00743F0A"/>
    <w:rsid w:val="007444E8"/>
    <w:rsid w:val="0074548E"/>
    <w:rsid w:val="00745773"/>
    <w:rsid w:val="00746800"/>
    <w:rsid w:val="007501A8"/>
    <w:rsid w:val="00750D61"/>
    <w:rsid w:val="00750EE1"/>
    <w:rsid w:val="00752B4D"/>
    <w:rsid w:val="007532D0"/>
    <w:rsid w:val="00755402"/>
    <w:rsid w:val="00756B26"/>
    <w:rsid w:val="00756EDF"/>
    <w:rsid w:val="007600E3"/>
    <w:rsid w:val="0076200D"/>
    <w:rsid w:val="00765C43"/>
    <w:rsid w:val="00765EFB"/>
    <w:rsid w:val="007671CA"/>
    <w:rsid w:val="00767C61"/>
    <w:rsid w:val="0077008A"/>
    <w:rsid w:val="00773C1F"/>
    <w:rsid w:val="00774DA4"/>
    <w:rsid w:val="00776599"/>
    <w:rsid w:val="00776A85"/>
    <w:rsid w:val="00776B7E"/>
    <w:rsid w:val="00776C24"/>
    <w:rsid w:val="0078114B"/>
    <w:rsid w:val="00781DD2"/>
    <w:rsid w:val="00783ECF"/>
    <w:rsid w:val="0078413A"/>
    <w:rsid w:val="007913CC"/>
    <w:rsid w:val="007959E8"/>
    <w:rsid w:val="00795E9C"/>
    <w:rsid w:val="00796331"/>
    <w:rsid w:val="00796D25"/>
    <w:rsid w:val="007A0521"/>
    <w:rsid w:val="007A2E12"/>
    <w:rsid w:val="007A3475"/>
    <w:rsid w:val="007A41C8"/>
    <w:rsid w:val="007A4DB4"/>
    <w:rsid w:val="007A54CE"/>
    <w:rsid w:val="007A6FD9"/>
    <w:rsid w:val="007A7FFA"/>
    <w:rsid w:val="007B04EB"/>
    <w:rsid w:val="007B0D4F"/>
    <w:rsid w:val="007B5A3D"/>
    <w:rsid w:val="007B5B95"/>
    <w:rsid w:val="007B68EA"/>
    <w:rsid w:val="007B7453"/>
    <w:rsid w:val="007C06B4"/>
    <w:rsid w:val="007C0D1A"/>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4E0"/>
    <w:rsid w:val="007F75CE"/>
    <w:rsid w:val="008013A4"/>
    <w:rsid w:val="008027CE"/>
    <w:rsid w:val="00802F42"/>
    <w:rsid w:val="00804383"/>
    <w:rsid w:val="00804BB7"/>
    <w:rsid w:val="00804D41"/>
    <w:rsid w:val="0080670F"/>
    <w:rsid w:val="00810257"/>
    <w:rsid w:val="008104F5"/>
    <w:rsid w:val="00811072"/>
    <w:rsid w:val="00811369"/>
    <w:rsid w:val="00815343"/>
    <w:rsid w:val="00815419"/>
    <w:rsid w:val="008163C8"/>
    <w:rsid w:val="008164A1"/>
    <w:rsid w:val="00817325"/>
    <w:rsid w:val="008179E6"/>
    <w:rsid w:val="008209E6"/>
    <w:rsid w:val="00823303"/>
    <w:rsid w:val="008233B2"/>
    <w:rsid w:val="00823A9F"/>
    <w:rsid w:val="00823C85"/>
    <w:rsid w:val="00825138"/>
    <w:rsid w:val="008269DD"/>
    <w:rsid w:val="00830621"/>
    <w:rsid w:val="0083348C"/>
    <w:rsid w:val="0083413B"/>
    <w:rsid w:val="008373D3"/>
    <w:rsid w:val="00840617"/>
    <w:rsid w:val="00840F84"/>
    <w:rsid w:val="00842A47"/>
    <w:rsid w:val="00843C13"/>
    <w:rsid w:val="0084492B"/>
    <w:rsid w:val="008454F8"/>
    <w:rsid w:val="00845A76"/>
    <w:rsid w:val="00846A9A"/>
    <w:rsid w:val="0085173A"/>
    <w:rsid w:val="0085551A"/>
    <w:rsid w:val="00856316"/>
    <w:rsid w:val="008603CE"/>
    <w:rsid w:val="00861065"/>
    <w:rsid w:val="008620FC"/>
    <w:rsid w:val="008627A5"/>
    <w:rsid w:val="00863E05"/>
    <w:rsid w:val="00865ACA"/>
    <w:rsid w:val="00865D28"/>
    <w:rsid w:val="00865F85"/>
    <w:rsid w:val="00867C10"/>
    <w:rsid w:val="00870439"/>
    <w:rsid w:val="00870DA1"/>
    <w:rsid w:val="008712DD"/>
    <w:rsid w:val="0087785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991"/>
    <w:rsid w:val="008B4AC4"/>
    <w:rsid w:val="008B50C8"/>
    <w:rsid w:val="008B5281"/>
    <w:rsid w:val="008B7E05"/>
    <w:rsid w:val="008C1797"/>
    <w:rsid w:val="008C208D"/>
    <w:rsid w:val="008C219C"/>
    <w:rsid w:val="008C46A2"/>
    <w:rsid w:val="008C475E"/>
    <w:rsid w:val="008C4A4A"/>
    <w:rsid w:val="008C619A"/>
    <w:rsid w:val="008D0CE8"/>
    <w:rsid w:val="008D2D1D"/>
    <w:rsid w:val="008D453D"/>
    <w:rsid w:val="008D53AD"/>
    <w:rsid w:val="008D562B"/>
    <w:rsid w:val="008D5733"/>
    <w:rsid w:val="008D622B"/>
    <w:rsid w:val="008D666C"/>
    <w:rsid w:val="008D7B54"/>
    <w:rsid w:val="008D7F96"/>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A5"/>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C04"/>
    <w:rsid w:val="009610DC"/>
    <w:rsid w:val="00961490"/>
    <w:rsid w:val="0096381A"/>
    <w:rsid w:val="00965E04"/>
    <w:rsid w:val="009674AD"/>
    <w:rsid w:val="00970CDC"/>
    <w:rsid w:val="00972C17"/>
    <w:rsid w:val="00977010"/>
    <w:rsid w:val="009776FD"/>
    <w:rsid w:val="00977D02"/>
    <w:rsid w:val="009809BB"/>
    <w:rsid w:val="0098364B"/>
    <w:rsid w:val="0099042A"/>
    <w:rsid w:val="009911AF"/>
    <w:rsid w:val="009915D4"/>
    <w:rsid w:val="00991875"/>
    <w:rsid w:val="00991F92"/>
    <w:rsid w:val="00992985"/>
    <w:rsid w:val="00993889"/>
    <w:rsid w:val="00994779"/>
    <w:rsid w:val="0099551B"/>
    <w:rsid w:val="00997BF1"/>
    <w:rsid w:val="009A089C"/>
    <w:rsid w:val="009A118E"/>
    <w:rsid w:val="009A21CD"/>
    <w:rsid w:val="009A278C"/>
    <w:rsid w:val="009A2BC2"/>
    <w:rsid w:val="009A42C1"/>
    <w:rsid w:val="009A5429"/>
    <w:rsid w:val="009A72AD"/>
    <w:rsid w:val="009B09E0"/>
    <w:rsid w:val="009B0BC5"/>
    <w:rsid w:val="009B1247"/>
    <w:rsid w:val="009B277A"/>
    <w:rsid w:val="009B46F9"/>
    <w:rsid w:val="009B6029"/>
    <w:rsid w:val="009B6971"/>
    <w:rsid w:val="009C27F1"/>
    <w:rsid w:val="009C2EF8"/>
    <w:rsid w:val="009C3152"/>
    <w:rsid w:val="009C4CFA"/>
    <w:rsid w:val="009C4F89"/>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15A"/>
    <w:rsid w:val="00A129D0"/>
    <w:rsid w:val="00A12C33"/>
    <w:rsid w:val="00A13084"/>
    <w:rsid w:val="00A138BA"/>
    <w:rsid w:val="00A14C8E"/>
    <w:rsid w:val="00A153D9"/>
    <w:rsid w:val="00A15F09"/>
    <w:rsid w:val="00A169B6"/>
    <w:rsid w:val="00A2271D"/>
    <w:rsid w:val="00A229D2"/>
    <w:rsid w:val="00A237D5"/>
    <w:rsid w:val="00A277B3"/>
    <w:rsid w:val="00A30A0C"/>
    <w:rsid w:val="00A30EFC"/>
    <w:rsid w:val="00A31984"/>
    <w:rsid w:val="00A32D73"/>
    <w:rsid w:val="00A3367B"/>
    <w:rsid w:val="00A34FF5"/>
    <w:rsid w:val="00A3597D"/>
    <w:rsid w:val="00A36058"/>
    <w:rsid w:val="00A36DD1"/>
    <w:rsid w:val="00A4006C"/>
    <w:rsid w:val="00A40091"/>
    <w:rsid w:val="00A4030F"/>
    <w:rsid w:val="00A41C79"/>
    <w:rsid w:val="00A41CB5"/>
    <w:rsid w:val="00A42CDF"/>
    <w:rsid w:val="00A4452E"/>
    <w:rsid w:val="00A4472C"/>
    <w:rsid w:val="00A44E69"/>
    <w:rsid w:val="00A45F9F"/>
    <w:rsid w:val="00A4661E"/>
    <w:rsid w:val="00A528CB"/>
    <w:rsid w:val="00A538C5"/>
    <w:rsid w:val="00A55BD6"/>
    <w:rsid w:val="00A55D50"/>
    <w:rsid w:val="00A57142"/>
    <w:rsid w:val="00A648CD"/>
    <w:rsid w:val="00A65114"/>
    <w:rsid w:val="00A6537A"/>
    <w:rsid w:val="00A67866"/>
    <w:rsid w:val="00A70B07"/>
    <w:rsid w:val="00A723F8"/>
    <w:rsid w:val="00A74DC6"/>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425"/>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3728"/>
    <w:rsid w:val="00AD4126"/>
    <w:rsid w:val="00AD421C"/>
    <w:rsid w:val="00AD44FA"/>
    <w:rsid w:val="00AE070A"/>
    <w:rsid w:val="00AE101C"/>
    <w:rsid w:val="00AE37E5"/>
    <w:rsid w:val="00AE5EB4"/>
    <w:rsid w:val="00AF0C18"/>
    <w:rsid w:val="00AF1CDF"/>
    <w:rsid w:val="00AF47C5"/>
    <w:rsid w:val="00AF5398"/>
    <w:rsid w:val="00AF605D"/>
    <w:rsid w:val="00B049AF"/>
    <w:rsid w:val="00B07242"/>
    <w:rsid w:val="00B10534"/>
    <w:rsid w:val="00B113DB"/>
    <w:rsid w:val="00B11D8A"/>
    <w:rsid w:val="00B127E4"/>
    <w:rsid w:val="00B12981"/>
    <w:rsid w:val="00B147DD"/>
    <w:rsid w:val="00B156FD"/>
    <w:rsid w:val="00B21F61"/>
    <w:rsid w:val="00B223D7"/>
    <w:rsid w:val="00B261F1"/>
    <w:rsid w:val="00B265BC"/>
    <w:rsid w:val="00B27F9B"/>
    <w:rsid w:val="00B303AB"/>
    <w:rsid w:val="00B31FB1"/>
    <w:rsid w:val="00B33915"/>
    <w:rsid w:val="00B33952"/>
    <w:rsid w:val="00B33C5E"/>
    <w:rsid w:val="00B342F4"/>
    <w:rsid w:val="00B34369"/>
    <w:rsid w:val="00B34DC2"/>
    <w:rsid w:val="00B378E5"/>
    <w:rsid w:val="00B4346D"/>
    <w:rsid w:val="00B440F4"/>
    <w:rsid w:val="00B447A5"/>
    <w:rsid w:val="00B4654C"/>
    <w:rsid w:val="00B46AF0"/>
    <w:rsid w:val="00B47293"/>
    <w:rsid w:val="00B50114"/>
    <w:rsid w:val="00B50E50"/>
    <w:rsid w:val="00B52120"/>
    <w:rsid w:val="00B54ABC"/>
    <w:rsid w:val="00B54DDE"/>
    <w:rsid w:val="00B56FBE"/>
    <w:rsid w:val="00B60ACF"/>
    <w:rsid w:val="00B62B58"/>
    <w:rsid w:val="00B63BC9"/>
    <w:rsid w:val="00B65149"/>
    <w:rsid w:val="00B66567"/>
    <w:rsid w:val="00B66F52"/>
    <w:rsid w:val="00B66FE5"/>
    <w:rsid w:val="00B72880"/>
    <w:rsid w:val="00B758BF"/>
    <w:rsid w:val="00B77EC8"/>
    <w:rsid w:val="00B827A6"/>
    <w:rsid w:val="00B831CE"/>
    <w:rsid w:val="00B86677"/>
    <w:rsid w:val="00B87131"/>
    <w:rsid w:val="00B92B79"/>
    <w:rsid w:val="00B939B1"/>
    <w:rsid w:val="00B95C61"/>
    <w:rsid w:val="00B96D40"/>
    <w:rsid w:val="00B97386"/>
    <w:rsid w:val="00BA263B"/>
    <w:rsid w:val="00BA42B2"/>
    <w:rsid w:val="00BA58D4"/>
    <w:rsid w:val="00BA5B9E"/>
    <w:rsid w:val="00BA7C9A"/>
    <w:rsid w:val="00BB203B"/>
    <w:rsid w:val="00BB5F8F"/>
    <w:rsid w:val="00BB657A"/>
    <w:rsid w:val="00BB67F4"/>
    <w:rsid w:val="00BC1A4E"/>
    <w:rsid w:val="00BC363F"/>
    <w:rsid w:val="00BC4790"/>
    <w:rsid w:val="00BC5DC7"/>
    <w:rsid w:val="00BC6B8B"/>
    <w:rsid w:val="00BC73D8"/>
    <w:rsid w:val="00BD52D7"/>
    <w:rsid w:val="00BD58DA"/>
    <w:rsid w:val="00BD5AD2"/>
    <w:rsid w:val="00BD5E49"/>
    <w:rsid w:val="00BE22F3"/>
    <w:rsid w:val="00BE390D"/>
    <w:rsid w:val="00BE4DBA"/>
    <w:rsid w:val="00BE5742"/>
    <w:rsid w:val="00BE5B52"/>
    <w:rsid w:val="00BE7B8D"/>
    <w:rsid w:val="00BF0993"/>
    <w:rsid w:val="00BF10A9"/>
    <w:rsid w:val="00BF1703"/>
    <w:rsid w:val="00BF231C"/>
    <w:rsid w:val="00BF4C7C"/>
    <w:rsid w:val="00BF51E5"/>
    <w:rsid w:val="00BF74A6"/>
    <w:rsid w:val="00C00F6A"/>
    <w:rsid w:val="00C013AD"/>
    <w:rsid w:val="00C01C4A"/>
    <w:rsid w:val="00C04904"/>
    <w:rsid w:val="00C056B3"/>
    <w:rsid w:val="00C06FBC"/>
    <w:rsid w:val="00C103E5"/>
    <w:rsid w:val="00C13319"/>
    <w:rsid w:val="00C13EE9"/>
    <w:rsid w:val="00C20BA9"/>
    <w:rsid w:val="00C21540"/>
    <w:rsid w:val="00C21906"/>
    <w:rsid w:val="00C21BFA"/>
    <w:rsid w:val="00C22148"/>
    <w:rsid w:val="00C236CF"/>
    <w:rsid w:val="00C24C8D"/>
    <w:rsid w:val="00C25FE2"/>
    <w:rsid w:val="00C26B53"/>
    <w:rsid w:val="00C279B2"/>
    <w:rsid w:val="00C33E50"/>
    <w:rsid w:val="00C34C20"/>
    <w:rsid w:val="00C35A3E"/>
    <w:rsid w:val="00C42130"/>
    <w:rsid w:val="00C423A4"/>
    <w:rsid w:val="00C44BF5"/>
    <w:rsid w:val="00C45B05"/>
    <w:rsid w:val="00C521D6"/>
    <w:rsid w:val="00C53010"/>
    <w:rsid w:val="00C55232"/>
    <w:rsid w:val="00C553A4"/>
    <w:rsid w:val="00C55A06"/>
    <w:rsid w:val="00C55D03"/>
    <w:rsid w:val="00C601BC"/>
    <w:rsid w:val="00C6329F"/>
    <w:rsid w:val="00C63340"/>
    <w:rsid w:val="00C643F9"/>
    <w:rsid w:val="00C64E95"/>
    <w:rsid w:val="00C70728"/>
    <w:rsid w:val="00C7097F"/>
    <w:rsid w:val="00C71372"/>
    <w:rsid w:val="00C72410"/>
    <w:rsid w:val="00C7287F"/>
    <w:rsid w:val="00C75F81"/>
    <w:rsid w:val="00C80982"/>
    <w:rsid w:val="00C80CB8"/>
    <w:rsid w:val="00C819F8"/>
    <w:rsid w:val="00C8248C"/>
    <w:rsid w:val="00C82F1C"/>
    <w:rsid w:val="00C84E33"/>
    <w:rsid w:val="00C86A8A"/>
    <w:rsid w:val="00C86D6F"/>
    <w:rsid w:val="00C905FC"/>
    <w:rsid w:val="00C9129B"/>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27C"/>
    <w:rsid w:val="00CC5DE6"/>
    <w:rsid w:val="00CC6E4E"/>
    <w:rsid w:val="00CC6FE8"/>
    <w:rsid w:val="00CC7202"/>
    <w:rsid w:val="00CD11A4"/>
    <w:rsid w:val="00CD2808"/>
    <w:rsid w:val="00CD28BF"/>
    <w:rsid w:val="00CD3A31"/>
    <w:rsid w:val="00CD4092"/>
    <w:rsid w:val="00CD4A20"/>
    <w:rsid w:val="00CD50A1"/>
    <w:rsid w:val="00CD519E"/>
    <w:rsid w:val="00CD561D"/>
    <w:rsid w:val="00CE0C4F"/>
    <w:rsid w:val="00CE1299"/>
    <w:rsid w:val="00CE2C9E"/>
    <w:rsid w:val="00CE30EA"/>
    <w:rsid w:val="00CF048A"/>
    <w:rsid w:val="00CF0803"/>
    <w:rsid w:val="00CF155A"/>
    <w:rsid w:val="00CF2947"/>
    <w:rsid w:val="00CF49DD"/>
    <w:rsid w:val="00CF686F"/>
    <w:rsid w:val="00CF6E60"/>
    <w:rsid w:val="00CF7516"/>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513"/>
    <w:rsid w:val="00D352A2"/>
    <w:rsid w:val="00D3660F"/>
    <w:rsid w:val="00D40FBB"/>
    <w:rsid w:val="00D4162B"/>
    <w:rsid w:val="00D4514F"/>
    <w:rsid w:val="00D451E2"/>
    <w:rsid w:val="00D45E89"/>
    <w:rsid w:val="00D45E8D"/>
    <w:rsid w:val="00D46559"/>
    <w:rsid w:val="00D466AE"/>
    <w:rsid w:val="00D4734F"/>
    <w:rsid w:val="00D51BF3"/>
    <w:rsid w:val="00D53132"/>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BF1"/>
    <w:rsid w:val="00DD1CF2"/>
    <w:rsid w:val="00DD25C6"/>
    <w:rsid w:val="00DD4FE5"/>
    <w:rsid w:val="00DD54B0"/>
    <w:rsid w:val="00DD57EE"/>
    <w:rsid w:val="00DD5CA7"/>
    <w:rsid w:val="00DD6BCC"/>
    <w:rsid w:val="00DE0A4B"/>
    <w:rsid w:val="00DE1F0D"/>
    <w:rsid w:val="00DE2410"/>
    <w:rsid w:val="00DE2939"/>
    <w:rsid w:val="00DE6E81"/>
    <w:rsid w:val="00DE703F"/>
    <w:rsid w:val="00DE7595"/>
    <w:rsid w:val="00DF1961"/>
    <w:rsid w:val="00DF44DE"/>
    <w:rsid w:val="00DF5F11"/>
    <w:rsid w:val="00E01138"/>
    <w:rsid w:val="00E02DFB"/>
    <w:rsid w:val="00E030F9"/>
    <w:rsid w:val="00E0311A"/>
    <w:rsid w:val="00E03138"/>
    <w:rsid w:val="00E0482A"/>
    <w:rsid w:val="00E06404"/>
    <w:rsid w:val="00E065D2"/>
    <w:rsid w:val="00E11A85"/>
    <w:rsid w:val="00E12495"/>
    <w:rsid w:val="00E15920"/>
    <w:rsid w:val="00E15CCD"/>
    <w:rsid w:val="00E202EF"/>
    <w:rsid w:val="00E20D68"/>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364"/>
    <w:rsid w:val="00E70388"/>
    <w:rsid w:val="00E708B9"/>
    <w:rsid w:val="00E70F92"/>
    <w:rsid w:val="00E74C54"/>
    <w:rsid w:val="00E77A03"/>
    <w:rsid w:val="00E822E8"/>
    <w:rsid w:val="00E82554"/>
    <w:rsid w:val="00E82606"/>
    <w:rsid w:val="00E83749"/>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8CB"/>
    <w:rsid w:val="00EB44CA"/>
    <w:rsid w:val="00EB4DBF"/>
    <w:rsid w:val="00EB5EDF"/>
    <w:rsid w:val="00EB60FE"/>
    <w:rsid w:val="00EB74DB"/>
    <w:rsid w:val="00EC5359"/>
    <w:rsid w:val="00EC562A"/>
    <w:rsid w:val="00EC7903"/>
    <w:rsid w:val="00ED067A"/>
    <w:rsid w:val="00ED2B50"/>
    <w:rsid w:val="00EE0350"/>
    <w:rsid w:val="00EE0719"/>
    <w:rsid w:val="00EE0E80"/>
    <w:rsid w:val="00EE45F0"/>
    <w:rsid w:val="00EE54A6"/>
    <w:rsid w:val="00EE613F"/>
    <w:rsid w:val="00EE7295"/>
    <w:rsid w:val="00EE7869"/>
    <w:rsid w:val="00EF054A"/>
    <w:rsid w:val="00EF3235"/>
    <w:rsid w:val="00EF7E72"/>
    <w:rsid w:val="00F06D37"/>
    <w:rsid w:val="00F07B9D"/>
    <w:rsid w:val="00F1141D"/>
    <w:rsid w:val="00F11534"/>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7ED"/>
    <w:rsid w:val="00F52DAB"/>
    <w:rsid w:val="00F56511"/>
    <w:rsid w:val="00F6194E"/>
    <w:rsid w:val="00F623AC"/>
    <w:rsid w:val="00F6412A"/>
    <w:rsid w:val="00F65893"/>
    <w:rsid w:val="00F66A4A"/>
    <w:rsid w:val="00F71E22"/>
    <w:rsid w:val="00F72142"/>
    <w:rsid w:val="00F72AE7"/>
    <w:rsid w:val="00F73EA3"/>
    <w:rsid w:val="00F806BA"/>
    <w:rsid w:val="00F81141"/>
    <w:rsid w:val="00F833BA"/>
    <w:rsid w:val="00F84FD0"/>
    <w:rsid w:val="00F859A8"/>
    <w:rsid w:val="00F8618E"/>
    <w:rsid w:val="00F86946"/>
    <w:rsid w:val="00F86D87"/>
    <w:rsid w:val="00F9108B"/>
    <w:rsid w:val="00F91349"/>
    <w:rsid w:val="00F93A8A"/>
    <w:rsid w:val="00F95248"/>
    <w:rsid w:val="00F956A9"/>
    <w:rsid w:val="00F963ED"/>
    <w:rsid w:val="00F966CF"/>
    <w:rsid w:val="00F96CAE"/>
    <w:rsid w:val="00F971C2"/>
    <w:rsid w:val="00F97C99"/>
    <w:rsid w:val="00FA4DAC"/>
    <w:rsid w:val="00FA662D"/>
    <w:rsid w:val="00FA73B1"/>
    <w:rsid w:val="00FB0CB9"/>
    <w:rsid w:val="00FB231D"/>
    <w:rsid w:val="00FB2689"/>
    <w:rsid w:val="00FB45F1"/>
    <w:rsid w:val="00FB4A72"/>
    <w:rsid w:val="00FB54E8"/>
    <w:rsid w:val="00FB7054"/>
    <w:rsid w:val="00FC17B7"/>
    <w:rsid w:val="00FC2CB7"/>
    <w:rsid w:val="00FC4090"/>
    <w:rsid w:val="00FC55B4"/>
    <w:rsid w:val="00FD00E6"/>
    <w:rsid w:val="00FD09A1"/>
    <w:rsid w:val="00FD2460"/>
    <w:rsid w:val="00FD2A7C"/>
    <w:rsid w:val="00FD57DA"/>
    <w:rsid w:val="00FD59EB"/>
    <w:rsid w:val="00FD7299"/>
    <w:rsid w:val="00FE1FBE"/>
    <w:rsid w:val="00FE3901"/>
    <w:rsid w:val="00FE39D3"/>
    <w:rsid w:val="00FE4BCE"/>
    <w:rsid w:val="00FE54AE"/>
    <w:rsid w:val="00FE576A"/>
    <w:rsid w:val="00FE7E79"/>
    <w:rsid w:val="00FF2B9F"/>
    <w:rsid w:val="00FF3E7D"/>
    <w:rsid w:val="00FF5B99"/>
    <w:rsid w:val="00FF730C"/>
    <w:rsid w:val="00FF73F4"/>
    <w:rsid w:val="00FF7CE4"/>
    <w:rsid w:val="00FF7E39"/>
    <w:rsid w:val="00FF7E9C"/>
    <w:rsid w:val="017F5A80"/>
    <w:rsid w:val="01D17056"/>
    <w:rsid w:val="02104F9D"/>
    <w:rsid w:val="03751D9C"/>
    <w:rsid w:val="04C42EA2"/>
    <w:rsid w:val="04D07A99"/>
    <w:rsid w:val="04F05A45"/>
    <w:rsid w:val="06B86C28"/>
    <w:rsid w:val="07950B26"/>
    <w:rsid w:val="08CE0793"/>
    <w:rsid w:val="090038CE"/>
    <w:rsid w:val="0A9119B9"/>
    <w:rsid w:val="0BC72610"/>
    <w:rsid w:val="0BF5579D"/>
    <w:rsid w:val="0C884A9F"/>
    <w:rsid w:val="0D4000F2"/>
    <w:rsid w:val="0DCE1117"/>
    <w:rsid w:val="0EA33B28"/>
    <w:rsid w:val="0F0E063E"/>
    <w:rsid w:val="0F692C78"/>
    <w:rsid w:val="12C940BF"/>
    <w:rsid w:val="13B10CDE"/>
    <w:rsid w:val="142E5135"/>
    <w:rsid w:val="15530A17"/>
    <w:rsid w:val="16180E5C"/>
    <w:rsid w:val="17342109"/>
    <w:rsid w:val="17D80AC8"/>
    <w:rsid w:val="17D905BB"/>
    <w:rsid w:val="1871170C"/>
    <w:rsid w:val="187622AE"/>
    <w:rsid w:val="1A27385F"/>
    <w:rsid w:val="1B8A5751"/>
    <w:rsid w:val="1BA07D6D"/>
    <w:rsid w:val="1C3B5CE8"/>
    <w:rsid w:val="1C93415D"/>
    <w:rsid w:val="1DD7559C"/>
    <w:rsid w:val="227E248B"/>
    <w:rsid w:val="22E5075C"/>
    <w:rsid w:val="237C2E6E"/>
    <w:rsid w:val="23EA427B"/>
    <w:rsid w:val="24190716"/>
    <w:rsid w:val="252517D1"/>
    <w:rsid w:val="26215F4F"/>
    <w:rsid w:val="27392E24"/>
    <w:rsid w:val="27F5437F"/>
    <w:rsid w:val="2A44220C"/>
    <w:rsid w:val="2AA30EAD"/>
    <w:rsid w:val="2B4D3342"/>
    <w:rsid w:val="2B634921"/>
    <w:rsid w:val="2C4571AF"/>
    <w:rsid w:val="2CA64AB8"/>
    <w:rsid w:val="2F236172"/>
    <w:rsid w:val="2F942434"/>
    <w:rsid w:val="2FFA144F"/>
    <w:rsid w:val="33572FB0"/>
    <w:rsid w:val="34076784"/>
    <w:rsid w:val="34C723C6"/>
    <w:rsid w:val="36941E25"/>
    <w:rsid w:val="37976071"/>
    <w:rsid w:val="382A2A41"/>
    <w:rsid w:val="39A84565"/>
    <w:rsid w:val="3A4B6730"/>
    <w:rsid w:val="3E336A22"/>
    <w:rsid w:val="3EEB27FE"/>
    <w:rsid w:val="40481A6B"/>
    <w:rsid w:val="42F648C6"/>
    <w:rsid w:val="4550785F"/>
    <w:rsid w:val="46223EE7"/>
    <w:rsid w:val="462C207A"/>
    <w:rsid w:val="46E62229"/>
    <w:rsid w:val="470F4311"/>
    <w:rsid w:val="473A4323"/>
    <w:rsid w:val="48B30830"/>
    <w:rsid w:val="49533372"/>
    <w:rsid w:val="4A883E51"/>
    <w:rsid w:val="501864B3"/>
    <w:rsid w:val="511703CE"/>
    <w:rsid w:val="512C73D2"/>
    <w:rsid w:val="51881945"/>
    <w:rsid w:val="53B400B5"/>
    <w:rsid w:val="54DE6C35"/>
    <w:rsid w:val="58AD704A"/>
    <w:rsid w:val="5A492DA3"/>
    <w:rsid w:val="5ADA70E8"/>
    <w:rsid w:val="5B2973D9"/>
    <w:rsid w:val="5C68330C"/>
    <w:rsid w:val="5C6F24D9"/>
    <w:rsid w:val="5D6C4546"/>
    <w:rsid w:val="608C5797"/>
    <w:rsid w:val="60B612C5"/>
    <w:rsid w:val="61150D1C"/>
    <w:rsid w:val="61AC2895"/>
    <w:rsid w:val="62AC5964"/>
    <w:rsid w:val="6372210C"/>
    <w:rsid w:val="65064779"/>
    <w:rsid w:val="6823360E"/>
    <w:rsid w:val="68411D30"/>
    <w:rsid w:val="6BE83A33"/>
    <w:rsid w:val="6BF9500C"/>
    <w:rsid w:val="6F47365C"/>
    <w:rsid w:val="714E41FF"/>
    <w:rsid w:val="71A45CCA"/>
    <w:rsid w:val="71B60B49"/>
    <w:rsid w:val="7313178C"/>
    <w:rsid w:val="758D7B90"/>
    <w:rsid w:val="77185B7F"/>
    <w:rsid w:val="774175B4"/>
    <w:rsid w:val="78DB550B"/>
    <w:rsid w:val="79655759"/>
    <w:rsid w:val="79786DA9"/>
    <w:rsid w:val="798B6ADC"/>
    <w:rsid w:val="7A336056"/>
    <w:rsid w:val="7B245471"/>
    <w:rsid w:val="7CDD6EBA"/>
    <w:rsid w:val="7D82638B"/>
    <w:rsid w:val="7E5C727A"/>
    <w:rsid w:val="7EAD12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44"/>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5"/>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48"/>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正文文本 Char"/>
    <w:link w:val="14"/>
    <w:qFormat/>
    <w:uiPriority w:val="0"/>
    <w:rPr>
      <w:kern w:val="2"/>
      <w:sz w:val="21"/>
      <w:szCs w:val="21"/>
    </w:rPr>
  </w:style>
  <w:style w:type="character" w:customStyle="1" w:styleId="45">
    <w:name w:val="批注框文本 Char"/>
    <w:link w:val="17"/>
    <w:semiHidden/>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页眉 Char"/>
    <w:link w:val="19"/>
    <w:qFormat/>
    <w:uiPriority w:val="99"/>
    <w:rPr>
      <w:kern w:val="2"/>
      <w:sz w:val="18"/>
      <w:szCs w:val="18"/>
    </w:rPr>
  </w:style>
  <w:style w:type="character" w:customStyle="1" w:styleId="48">
    <w:name w:val="脚注文本 Char"/>
    <w:link w:val="22"/>
    <w:semiHidden/>
    <w:qFormat/>
    <w:uiPriority w:val="0"/>
    <w:rPr>
      <w:rFonts w:ascii="宋体"/>
      <w:kern w:val="2"/>
      <w:sz w:val="18"/>
      <w:szCs w:val="18"/>
    </w:rPr>
  </w:style>
  <w:style w:type="character" w:customStyle="1" w:styleId="49">
    <w:name w:val="标题 Char"/>
    <w:link w:val="26"/>
    <w:qFormat/>
    <w:uiPriority w:val="0"/>
    <w:rPr>
      <w:rFonts w:ascii="Arial" w:hAnsi="Arial" w:cs="Arial"/>
      <w:b/>
      <w:bCs/>
      <w:kern w:val="2"/>
      <w:sz w:val="32"/>
      <w:szCs w:val="32"/>
    </w:rPr>
  </w:style>
  <w:style w:type="paragraph" w:styleId="50">
    <w:name w:val="Quote"/>
    <w:basedOn w:val="1"/>
    <w:next w:val="1"/>
    <w:link w:val="51"/>
    <w:qFormat/>
    <w:uiPriority w:val="29"/>
    <w:rPr>
      <w:i/>
      <w:iCs/>
      <w:color w:val="000000"/>
    </w:rPr>
  </w:style>
  <w:style w:type="character" w:customStyle="1" w:styleId="51">
    <w:name w:val="引用 Char"/>
    <w:link w:val="50"/>
    <w:qFormat/>
    <w:uiPriority w:val="29"/>
    <w:rPr>
      <w:i/>
      <w:iCs/>
      <w:color w:val="000000"/>
      <w:kern w:val="2"/>
      <w:sz w:val="21"/>
      <w:szCs w:val="21"/>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6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0">
    <w:name w:val="标准文件_段 Char"/>
    <w:link w:val="59"/>
    <w:qFormat/>
    <w:uiPriority w:val="0"/>
    <w:rPr>
      <w:rFonts w:ascii="宋体" w:hAnsi="Times New Roman"/>
      <w:sz w:val="21"/>
    </w:rPr>
  </w:style>
  <w:style w:type="paragraph" w:customStyle="1" w:styleId="61">
    <w:name w:val="标准文件_版本"/>
    <w:basedOn w:val="58"/>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59"/>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59"/>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59"/>
    <w:qFormat/>
    <w:uiPriority w:val="0"/>
    <w:pPr>
      <w:numPr>
        <w:ilvl w:val="0"/>
        <w:numId w:val="4"/>
      </w:numPr>
      <w:shd w:val="clear" w:color="FFFFFF" w:fill="FFFFFF"/>
      <w:tabs>
        <w:tab w:val="left" w:pos="6406"/>
      </w:tabs>
      <w:spacing w:before="560" w:afterLines="50"/>
      <w:ind w:left="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59"/>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9"/>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9"/>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9"/>
    <w:qFormat/>
    <w:uiPriority w:val="0"/>
    <w:pPr>
      <w:outlineLvl w:val="4"/>
    </w:pPr>
  </w:style>
  <w:style w:type="paragraph" w:customStyle="1" w:styleId="132">
    <w:name w:val="附录四级无标题条"/>
    <w:basedOn w:val="131"/>
    <w:next w:val="59"/>
    <w:qFormat/>
    <w:uiPriority w:val="0"/>
    <w:pPr>
      <w:outlineLvl w:val="5"/>
    </w:pPr>
  </w:style>
  <w:style w:type="paragraph" w:customStyle="1" w:styleId="133">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9"/>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90"/>
    <w:next w:val="59"/>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9"/>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9"/>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7"/>
    <w:qFormat/>
    <w:uiPriority w:val="0"/>
    <w:pPr>
      <w:spacing w:beforeLines="0" w:afterLines="0"/>
      <w:outlineLvl w:val="9"/>
    </w:pPr>
    <w:rPr>
      <w:rFonts w:ascii="宋体" w:eastAsia="宋体"/>
    </w:rPr>
  </w:style>
  <w:style w:type="paragraph" w:customStyle="1" w:styleId="167">
    <w:name w:val="标准文件_二级无标题"/>
    <w:basedOn w:val="69"/>
    <w:qFormat/>
    <w:uiPriority w:val="0"/>
    <w:pPr>
      <w:spacing w:beforeLines="0" w:afterLines="0"/>
      <w:outlineLvl w:val="9"/>
    </w:pPr>
    <w:rPr>
      <w:rFonts w:ascii="宋体" w:eastAsia="宋体"/>
    </w:rPr>
  </w:style>
  <w:style w:type="paragraph" w:customStyle="1" w:styleId="168">
    <w:name w:val="标准_四级无标题"/>
    <w:basedOn w:val="101"/>
    <w:next w:val="59"/>
    <w:qFormat/>
    <w:uiPriority w:val="0"/>
    <w:rPr>
      <w:rFonts w:eastAsia="宋体"/>
    </w:rPr>
  </w:style>
  <w:style w:type="paragraph" w:customStyle="1" w:styleId="169">
    <w:name w:val="标准文件_四级无标题"/>
    <w:basedOn w:val="101"/>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9"/>
    <w:qFormat/>
    <w:uiPriority w:val="0"/>
    <w:pPr>
      <w:numPr>
        <w:ilvl w:val="0"/>
        <w:numId w:val="24"/>
      </w:numPr>
      <w:ind w:firstLine="0" w:firstLineChars="0"/>
    </w:pPr>
    <w:rPr>
      <w:rFonts w:cs="Arial"/>
      <w:szCs w:val="28"/>
    </w:rPr>
  </w:style>
  <w:style w:type="paragraph" w:customStyle="1" w:styleId="172">
    <w:name w:val="标准文件_附录标题"/>
    <w:basedOn w:val="80"/>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300" w:lineRule="exact"/>
    </w:pPr>
    <w:rPr>
      <w:rFonts w:ascii="Times New Roman" w:hAnsi="Times New Roman"/>
    </w:rPr>
  </w:style>
  <w:style w:type="paragraph" w:customStyle="1" w:styleId="175">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9"/>
    <w:qFormat/>
    <w:uiPriority w:val="0"/>
    <w:pPr>
      <w:ind w:firstLine="0" w:firstLineChars="0"/>
      <w:jc w:val="center"/>
    </w:pPr>
    <w:rPr>
      <w:sz w:val="18"/>
    </w:rPr>
  </w:style>
  <w:style w:type="paragraph" w:customStyle="1" w:styleId="181">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9"/>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6">
    <w:name w:val="标准文件_表格续"/>
    <w:basedOn w:val="59"/>
    <w:next w:val="59"/>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9"/>
    <w:qFormat/>
    <w:uiPriority w:val="0"/>
    <w:pPr>
      <w:numPr>
        <w:ilvl w:val="1"/>
        <w:numId w:val="21"/>
      </w:numPr>
      <w:ind w:firstLine="0" w:firstLineChars="0"/>
    </w:pPr>
  </w:style>
  <w:style w:type="paragraph" w:customStyle="1" w:styleId="189">
    <w:name w:val="标准文件_三级项2"/>
    <w:basedOn w:val="59"/>
    <w:qFormat/>
    <w:uiPriority w:val="0"/>
    <w:pPr>
      <w:numPr>
        <w:ilvl w:val="0"/>
        <w:numId w:val="30"/>
      </w:numPr>
      <w:spacing w:line="300" w:lineRule="exact"/>
      <w:ind w:firstLineChars="0"/>
    </w:pPr>
    <w:rPr>
      <w:rFonts w:ascii="Times New Roman"/>
    </w:rPr>
  </w:style>
  <w:style w:type="paragraph" w:customStyle="1" w:styleId="190">
    <w:name w:val="标准文件_一级项2"/>
    <w:basedOn w:val="59"/>
    <w:qFormat/>
    <w:uiPriority w:val="0"/>
    <w:pPr>
      <w:numPr>
        <w:ilvl w:val="0"/>
        <w:numId w:val="31"/>
      </w:numPr>
      <w:spacing w:line="300" w:lineRule="exact"/>
      <w:ind w:firstLineChars="0"/>
    </w:pPr>
    <w:rPr>
      <w:rFonts w:ascii="Times New Roman"/>
    </w:rPr>
  </w:style>
  <w:style w:type="paragraph" w:customStyle="1" w:styleId="191">
    <w:name w:val="标准文件_提示"/>
    <w:basedOn w:val="59"/>
    <w:next w:val="59"/>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2"/>
    <w:qFormat/>
    <w:uiPriority w:val="0"/>
    <w:pPr>
      <w:framePr w:w="3997" w:h="471" w:hRule="exact" w:hSpace="0" w:vSpace="181" w:wrap="around" w:vAnchor="page" w:hAnchor="page" w:x="1419" w:y="14097"/>
    </w:pPr>
  </w:style>
  <w:style w:type="paragraph" w:customStyle="1" w:styleId="195">
    <w:name w:val="其他实施日期"/>
    <w:basedOn w:val="156"/>
    <w:qFormat/>
    <w:uiPriority w:val="0"/>
    <w:pPr>
      <w:framePr w:w="3997" w:h="471" w:hRule="exact" w:vSpace="181" w:wrap="around" w:vAnchor="page" w:hAnchor="page" w:x="7089" w:y="14097"/>
    </w:pPr>
  </w:style>
  <w:style w:type="paragraph" w:customStyle="1" w:styleId="196">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9"/>
    <w:qFormat/>
    <w:uiPriority w:val="0"/>
    <w:pPr>
      <w:ind w:left="811" w:firstLine="0" w:firstLineChars="0"/>
    </w:pPr>
    <w:rPr>
      <w:sz w:val="18"/>
    </w:rPr>
  </w:style>
  <w:style w:type="paragraph" w:customStyle="1" w:styleId="207">
    <w:name w:val="标准文件_注X后"/>
    <w:basedOn w:val="59"/>
    <w:qFormat/>
    <w:uiPriority w:val="0"/>
    <w:pPr>
      <w:ind w:left="811" w:firstLine="0" w:firstLineChars="0"/>
    </w:pPr>
    <w:rPr>
      <w:sz w:val="18"/>
    </w:rPr>
  </w:style>
  <w:style w:type="paragraph" w:customStyle="1" w:styleId="208">
    <w:name w:val="标准文件_示例后"/>
    <w:basedOn w:val="59"/>
    <w:qFormat/>
    <w:uiPriority w:val="0"/>
    <w:pPr>
      <w:ind w:left="964" w:firstLine="0" w:firstLineChars="0"/>
    </w:pPr>
    <w:rPr>
      <w:sz w:val="18"/>
    </w:rPr>
  </w:style>
  <w:style w:type="paragraph" w:customStyle="1" w:styleId="209">
    <w:name w:val="标准文件_示例X后"/>
    <w:basedOn w:val="59"/>
    <w:link w:val="210"/>
    <w:qFormat/>
    <w:uiPriority w:val="0"/>
    <w:pPr>
      <w:ind w:left="1049" w:firstLine="0" w:firstLineChars="0"/>
    </w:pPr>
    <w:rPr>
      <w:sz w:val="18"/>
    </w:rPr>
  </w:style>
  <w:style w:type="character" w:customStyle="1" w:styleId="210">
    <w:name w:val="标准文件_示例X后 字符"/>
    <w:basedOn w:val="60"/>
    <w:link w:val="209"/>
    <w:qFormat/>
    <w:uiPriority w:val="0"/>
    <w:rPr>
      <w:rFonts w:ascii="宋体" w:hAnsi="Times New Roman"/>
      <w:sz w:val="18"/>
    </w:rPr>
  </w:style>
  <w:style w:type="paragraph" w:customStyle="1" w:styleId="211">
    <w:name w:val="标准文件_索引项"/>
    <w:basedOn w:val="59"/>
    <w:next w:val="59"/>
    <w:qFormat/>
    <w:uiPriority w:val="0"/>
    <w:pPr>
      <w:tabs>
        <w:tab w:val="right" w:leader="dot" w:pos="9356"/>
      </w:tabs>
      <w:ind w:left="210" w:hanging="210" w:firstLineChars="0"/>
      <w:jc w:val="left"/>
    </w:pPr>
  </w:style>
  <w:style w:type="paragraph" w:customStyle="1" w:styleId="212">
    <w:name w:val="标准文件_附录一级无标题"/>
    <w:basedOn w:val="82"/>
    <w:qFormat/>
    <w:uiPriority w:val="0"/>
    <w:pPr>
      <w:spacing w:beforeLines="0" w:afterLines="0" w:line="276" w:lineRule="auto"/>
      <w:outlineLvl w:val="9"/>
    </w:pPr>
    <w:rPr>
      <w:rFonts w:ascii="宋体" w:eastAsia="宋体"/>
    </w:rPr>
  </w:style>
  <w:style w:type="paragraph" w:customStyle="1" w:styleId="213">
    <w:name w:val="标准文件_附录二级无标题"/>
    <w:basedOn w:val="83"/>
    <w:qFormat/>
    <w:uiPriority w:val="0"/>
    <w:pPr>
      <w:spacing w:beforeLines="0" w:afterLines="0" w:line="276" w:lineRule="auto"/>
      <w:outlineLvl w:val="9"/>
    </w:pPr>
    <w:rPr>
      <w:rFonts w:ascii="宋体" w:eastAsia="宋体"/>
    </w:rPr>
  </w:style>
  <w:style w:type="paragraph" w:customStyle="1" w:styleId="214">
    <w:name w:val="标准文件_附录三级无标题"/>
    <w:basedOn w:val="85"/>
    <w:qFormat/>
    <w:uiPriority w:val="0"/>
    <w:pPr>
      <w:spacing w:beforeLines="0" w:afterLines="0" w:line="276" w:lineRule="auto"/>
      <w:outlineLvl w:val="9"/>
    </w:pPr>
    <w:rPr>
      <w:rFonts w:ascii="宋体" w:eastAsia="宋体"/>
    </w:rPr>
  </w:style>
  <w:style w:type="paragraph" w:customStyle="1" w:styleId="215">
    <w:name w:val="标准文件_附录四级无标题"/>
    <w:basedOn w:val="86"/>
    <w:qFormat/>
    <w:uiPriority w:val="0"/>
    <w:pPr>
      <w:spacing w:beforeLines="0" w:afterLines="0" w:line="276" w:lineRule="auto"/>
      <w:outlineLvl w:val="9"/>
    </w:pPr>
    <w:rPr>
      <w:rFonts w:ascii="宋体" w:eastAsia="宋体"/>
    </w:rPr>
  </w:style>
  <w:style w:type="paragraph" w:customStyle="1" w:styleId="216">
    <w:name w:val="标准文件_附录五级无标题"/>
    <w:basedOn w:val="88"/>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9"/>
    <w:qFormat/>
    <w:uiPriority w:val="0"/>
    <w:pPr>
      <w:spacing w:beforeLines="0" w:afterLines="0" w:line="276" w:lineRule="auto"/>
    </w:pPr>
    <w:rPr>
      <w:rFonts w:ascii="宋体" w:eastAsia="宋体"/>
    </w:rPr>
  </w:style>
  <w:style w:type="paragraph" w:customStyle="1" w:styleId="218">
    <w:name w:val="标准文件_引言二级无标题"/>
    <w:basedOn w:val="202"/>
    <w:next w:val="59"/>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9"/>
    <w:qFormat/>
    <w:uiPriority w:val="0"/>
    <w:pPr>
      <w:spacing w:beforeLines="0" w:afterLines="0" w:line="276" w:lineRule="auto"/>
    </w:pPr>
    <w:rPr>
      <w:rFonts w:ascii="宋体" w:eastAsia="宋体"/>
    </w:rPr>
  </w:style>
  <w:style w:type="paragraph" w:customStyle="1" w:styleId="221">
    <w:name w:val="标准文件_引言五级无标题"/>
    <w:basedOn w:val="205"/>
    <w:next w:val="59"/>
    <w:qFormat/>
    <w:uiPriority w:val="0"/>
    <w:pPr>
      <w:spacing w:beforeLines="0" w:afterLines="0" w:line="276" w:lineRule="auto"/>
    </w:pPr>
    <w:rPr>
      <w:rFonts w:ascii="宋体" w:eastAsia="宋体"/>
    </w:rPr>
  </w:style>
  <w:style w:type="paragraph" w:customStyle="1" w:styleId="222">
    <w:name w:val="标准文件_索引标题"/>
    <w:basedOn w:val="67"/>
    <w:next w:val="59"/>
    <w:qFormat/>
    <w:uiPriority w:val="0"/>
    <w:rPr>
      <w:rFonts w:hAnsi="黑体"/>
    </w:rPr>
  </w:style>
  <w:style w:type="paragraph" w:customStyle="1" w:styleId="223">
    <w:name w:val="标准文件_脚注内容"/>
    <w:basedOn w:val="59"/>
    <w:qFormat/>
    <w:uiPriority w:val="0"/>
    <w:pPr>
      <w:ind w:left="400" w:leftChars="200" w:hanging="200" w:hangingChars="200"/>
    </w:pPr>
    <w:rPr>
      <w:sz w:val="15"/>
    </w:rPr>
  </w:style>
  <w:style w:type="paragraph" w:customStyle="1" w:styleId="224">
    <w:name w:val="标准文件_术语条一"/>
    <w:basedOn w:val="164"/>
    <w:next w:val="59"/>
    <w:link w:val="225"/>
    <w:qFormat/>
    <w:uiPriority w:val="0"/>
  </w:style>
  <w:style w:type="character" w:customStyle="1" w:styleId="225">
    <w:name w:val="标准文件_术语条一 Char"/>
    <w:link w:val="224"/>
    <w:qFormat/>
    <w:uiPriority w:val="0"/>
    <w:rPr>
      <w:rFonts w:ascii="宋体" w:hAnsi="Times New Roman"/>
      <w:sz w:val="21"/>
    </w:rPr>
  </w:style>
  <w:style w:type="paragraph" w:customStyle="1" w:styleId="226">
    <w:name w:val="标准文件_术语条二"/>
    <w:basedOn w:val="167"/>
    <w:next w:val="59"/>
    <w:qFormat/>
    <w:uiPriority w:val="0"/>
  </w:style>
  <w:style w:type="paragraph" w:customStyle="1" w:styleId="227">
    <w:name w:val="标准文件_术语条三"/>
    <w:basedOn w:val="166"/>
    <w:next w:val="59"/>
    <w:qFormat/>
    <w:uiPriority w:val="0"/>
  </w:style>
  <w:style w:type="paragraph" w:customStyle="1" w:styleId="228">
    <w:name w:val="标准文件_术语条四"/>
    <w:basedOn w:val="169"/>
    <w:next w:val="59"/>
    <w:qFormat/>
    <w:uiPriority w:val="0"/>
  </w:style>
  <w:style w:type="paragraph" w:customStyle="1" w:styleId="229">
    <w:name w:val="标准文件_术语条五"/>
    <w:basedOn w:val="165"/>
    <w:next w:val="59"/>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styleId="232">
    <w:name w:val="List Paragraph"/>
    <w:basedOn w:val="1"/>
    <w:link w:val="233"/>
    <w:qFormat/>
    <w:uiPriority w:val="1"/>
    <w:pPr>
      <w:autoSpaceDE w:val="0"/>
      <w:autoSpaceDN w:val="0"/>
      <w:adjustRightInd/>
      <w:spacing w:line="240" w:lineRule="auto"/>
      <w:ind w:left="1387" w:hanging="1232"/>
      <w:jc w:val="left"/>
    </w:pPr>
    <w:rPr>
      <w:rFonts w:ascii="宋体" w:hAnsi="宋体" w:cs="宋体"/>
      <w:kern w:val="0"/>
      <w:sz w:val="22"/>
      <w:szCs w:val="22"/>
      <w:lang w:eastAsia="en-US"/>
    </w:rPr>
  </w:style>
  <w:style w:type="character" w:customStyle="1" w:styleId="233">
    <w:name w:val="列出段落 Char"/>
    <w:link w:val="232"/>
    <w:qFormat/>
    <w:uiPriority w:val="1"/>
    <w:rPr>
      <w:rFonts w:ascii="宋体" w:hAnsi="宋体" w:cs="宋体"/>
      <w:sz w:val="22"/>
      <w:szCs w:val="22"/>
      <w:lang w:eastAsia="en-US"/>
    </w:rPr>
  </w:style>
  <w:style w:type="paragraph" w:customStyle="1" w:styleId="234">
    <w:name w:val="一级条标题"/>
    <w:next w:val="235"/>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6">
    <w:name w:val="二级无"/>
    <w:basedOn w:val="237"/>
    <w:qFormat/>
    <w:uiPriority w:val="0"/>
    <w:pPr>
      <w:spacing w:beforeLines="0" w:afterLines="0"/>
    </w:pPr>
    <w:rPr>
      <w:rFonts w:ascii="宋体" w:eastAsia="宋体"/>
    </w:rPr>
  </w:style>
  <w:style w:type="paragraph" w:customStyle="1" w:styleId="237">
    <w:name w:val="二级条标题"/>
    <w:basedOn w:val="234"/>
    <w:next w:val="235"/>
    <w:qFormat/>
    <w:uiPriority w:val="0"/>
    <w:pPr>
      <w:numPr>
        <w:ilvl w:val="2"/>
      </w:numPr>
      <w:spacing w:before="50" w:after="50"/>
      <w:outlineLvl w:val="3"/>
    </w:pPr>
  </w:style>
  <w:style w:type="paragraph" w:customStyle="1" w:styleId="238">
    <w:name w:val="字母编号列项（一级）"/>
    <w:qFormat/>
    <w:uiPriority w:val="0"/>
    <w:pPr>
      <w:numPr>
        <w:ilvl w:val="0"/>
        <w:numId w:val="33"/>
      </w:numPr>
      <w:jc w:val="both"/>
    </w:pPr>
    <w:rPr>
      <w:rFonts w:ascii="宋体" w:hAnsi="Times New Roman" w:eastAsia="宋体" w:cs="Times New Roman"/>
      <w:sz w:val="21"/>
      <w:lang w:val="en-US" w:eastAsia="zh-CN" w:bidi="ar-SA"/>
    </w:rPr>
  </w:style>
  <w:style w:type="paragraph" w:customStyle="1" w:styleId="239">
    <w:name w:val="章标题"/>
    <w:next w:val="235"/>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957</Words>
  <Characters>5457</Characters>
  <Lines>45</Lines>
  <Paragraphs>12</Paragraphs>
  <TotalTime>194</TotalTime>
  <ScaleCrop>false</ScaleCrop>
  <LinksUpToDate>false</LinksUpToDate>
  <CharactersWithSpaces>6402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2024-04-05T09:21:00Z</dcterms:created>
  <dc:creator>Administrator</dc:creator>
  <dc:description>&lt;config cover="true" show_menu="true" version="1.0.0" doctype="SDKXY"&gt;_x000d_
&lt;/config&gt;</dc:description>
  <cp:lastModifiedBy>hongbo</cp:lastModifiedBy>
  <cp:lastPrinted>2024-04-03T03:12:00Z</cp:lastPrinted>
  <dcterms:modified xsi:type="dcterms:W3CDTF">2024-04-09T12:00:29Z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2052-12.1.0.15990</vt:lpwstr>
  </property>
  <property fmtid="{D5CDD505-2E9C-101B-9397-08002B2CF9AE}" pid="16" name="ICV">
    <vt:lpwstr>52212AE9755849C6A23BE973F103366A_13</vt:lpwstr>
  </property>
</Properties>
</file>